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52B39" w14:textId="77777777" w:rsidR="0012664F" w:rsidRDefault="0012664F">
      <w:pPr>
        <w:spacing w:after="200" w:line="240" w:lineRule="auto"/>
      </w:pPr>
    </w:p>
    <w:p w14:paraId="1FC82438" w14:textId="77777777" w:rsidR="0012664F" w:rsidRPr="0012664F" w:rsidRDefault="0012664F" w:rsidP="0012664F">
      <w:pPr>
        <w:pBdr>
          <w:top w:val="single" w:sz="4" w:space="1" w:color="auto"/>
          <w:bottom w:val="single" w:sz="4" w:space="1" w:color="auto"/>
        </w:pBdr>
        <w:spacing w:after="120" w:line="240" w:lineRule="auto"/>
        <w:jc w:val="center"/>
        <w:rPr>
          <w:rFonts w:ascii="Cambria" w:hAnsi="Cambria" w:cs="Tahoma"/>
          <w:b/>
          <w:color w:val="002060"/>
          <w:sz w:val="36"/>
          <w:szCs w:val="20"/>
          <w:lang w:val="en-US"/>
        </w:rPr>
      </w:pPr>
      <w:r w:rsidRPr="0012664F">
        <w:rPr>
          <w:rFonts w:ascii="Cambria" w:hAnsi="Cambria" w:cs="Tahoma"/>
          <w:b/>
          <w:color w:val="002060"/>
          <w:sz w:val="36"/>
          <w:szCs w:val="20"/>
        </w:rPr>
        <w:t xml:space="preserve">България и </w:t>
      </w:r>
      <w:r w:rsidRPr="0012664F">
        <w:rPr>
          <w:rFonts w:ascii="Cambria" w:hAnsi="Cambria" w:cs="Tahoma"/>
          <w:b/>
          <w:color w:val="002060"/>
          <w:sz w:val="36"/>
          <w:szCs w:val="20"/>
          <w:lang w:val="en-US"/>
        </w:rPr>
        <w:t xml:space="preserve">Brexit </w:t>
      </w:r>
    </w:p>
    <w:p w14:paraId="5C222B38" w14:textId="77777777" w:rsidR="0012664F" w:rsidRPr="009A3EEE" w:rsidRDefault="0012664F" w:rsidP="0012664F">
      <w:pPr>
        <w:spacing w:after="120" w:line="240" w:lineRule="auto"/>
        <w:rPr>
          <w:rFonts w:ascii="Tahoma" w:hAnsi="Tahoma" w:cs="Tahoma"/>
          <w:sz w:val="20"/>
          <w:szCs w:val="20"/>
          <w:lang w:val="en-US"/>
        </w:rPr>
      </w:pPr>
    </w:p>
    <w:p w14:paraId="25E0E9FF" w14:textId="77777777" w:rsidR="0012664F" w:rsidRPr="009A3EEE" w:rsidRDefault="0012664F" w:rsidP="0012664F">
      <w:pPr>
        <w:shd w:val="clear" w:color="auto" w:fill="002060"/>
        <w:spacing w:after="120" w:line="240" w:lineRule="auto"/>
        <w:rPr>
          <w:rFonts w:ascii="Tahoma" w:hAnsi="Tahoma" w:cs="Tahoma"/>
          <w:b/>
          <w:sz w:val="20"/>
          <w:szCs w:val="20"/>
        </w:rPr>
      </w:pPr>
      <w:r w:rsidRPr="009A3EEE">
        <w:rPr>
          <w:rFonts w:ascii="Tahoma" w:hAnsi="Tahoma" w:cs="Tahoma"/>
          <w:b/>
          <w:sz w:val="20"/>
          <w:szCs w:val="20"/>
        </w:rPr>
        <w:t>Какво изнася България (2019)</w:t>
      </w:r>
      <w:r w:rsidRPr="009A3EEE">
        <w:rPr>
          <w:rFonts w:cs="Tahoma"/>
          <w:b/>
          <w:sz w:val="20"/>
          <w:szCs w:val="20"/>
        </w:rPr>
        <w:t>?</w:t>
      </w:r>
    </w:p>
    <w:p w14:paraId="407DAFA2" w14:textId="77777777" w:rsidR="0012664F" w:rsidRPr="009A3EEE" w:rsidRDefault="0012664F" w:rsidP="0012664F">
      <w:pPr>
        <w:spacing w:after="120" w:line="240" w:lineRule="auto"/>
        <w:ind w:firstLine="567"/>
        <w:jc w:val="both"/>
        <w:rPr>
          <w:rFonts w:ascii="Tahoma" w:hAnsi="Tahoma" w:cs="Tahoma"/>
          <w:sz w:val="20"/>
          <w:szCs w:val="20"/>
        </w:rPr>
      </w:pPr>
      <w:r w:rsidRPr="009A3EEE">
        <w:rPr>
          <w:rFonts w:ascii="Tahoma" w:hAnsi="Tahoma" w:cs="Tahoma"/>
          <w:sz w:val="20"/>
          <w:szCs w:val="20"/>
        </w:rPr>
        <w:t>Пред суровините – мед, горива, слънчоглед, няма никакви пречки. Обзавеждане, облекла, пластмаси – няма мита и нетарифни бариери. Електроника, електротехника, машини – няма мита, но вероятно ще се наложи издаване на нови сертификати за съответствие, в зависимост от датата и срока на наличните. Ще се прилагат правилата на</w:t>
      </w:r>
      <w:r>
        <w:rPr>
          <w:rFonts w:cs="Tahoma"/>
          <w:sz w:val="20"/>
          <w:szCs w:val="20"/>
        </w:rPr>
        <w:t xml:space="preserve"> Световната търговска организация</w:t>
      </w:r>
      <w:r w:rsidRPr="009A3EEE">
        <w:rPr>
          <w:rFonts w:ascii="Tahoma" w:hAnsi="Tahoma" w:cs="Tahoma"/>
          <w:sz w:val="20"/>
          <w:szCs w:val="20"/>
        </w:rPr>
        <w:t xml:space="preserve"> </w:t>
      </w:r>
      <w:r>
        <w:rPr>
          <w:rFonts w:cs="Tahoma"/>
          <w:sz w:val="20"/>
          <w:szCs w:val="20"/>
        </w:rPr>
        <w:t>(</w:t>
      </w:r>
      <w:r w:rsidRPr="009A3EEE">
        <w:rPr>
          <w:rFonts w:ascii="Tahoma" w:hAnsi="Tahoma" w:cs="Tahoma"/>
          <w:sz w:val="20"/>
          <w:szCs w:val="20"/>
        </w:rPr>
        <w:t>СТО</w:t>
      </w:r>
      <w:r>
        <w:rPr>
          <w:rFonts w:cs="Tahoma"/>
          <w:sz w:val="20"/>
          <w:szCs w:val="20"/>
        </w:rPr>
        <w:t>)</w:t>
      </w:r>
      <w:r w:rsidRPr="009A3EEE">
        <w:rPr>
          <w:rFonts w:ascii="Tahoma" w:hAnsi="Tahoma" w:cs="Tahoma"/>
          <w:sz w:val="20"/>
          <w:szCs w:val="20"/>
        </w:rPr>
        <w:t xml:space="preserve"> за нетарифни бариери в търговията. Фармацевтични продукти – няма мита, но регистрациите ще важат само до края на текущия им срок, след което ще се премине към нова процедура по регистрация. Взаимно се признават сертификати от инспекции относно </w:t>
      </w:r>
      <w:r w:rsidRPr="009A3EEE">
        <w:rPr>
          <w:rFonts w:ascii="Tahoma" w:hAnsi="Tahoma" w:cs="Tahoma"/>
          <w:sz w:val="20"/>
          <w:szCs w:val="20"/>
          <w:lang w:val="en-US"/>
        </w:rPr>
        <w:t>GMP</w:t>
      </w:r>
      <w:r w:rsidRPr="009A3EEE">
        <w:rPr>
          <w:rFonts w:ascii="Tahoma" w:hAnsi="Tahoma" w:cs="Tahoma"/>
          <w:sz w:val="20"/>
          <w:szCs w:val="20"/>
        </w:rPr>
        <w:t>, но всяка страна има право да поиска проверка на място</w:t>
      </w:r>
      <w:r w:rsidRPr="009A3EEE">
        <w:rPr>
          <w:rFonts w:ascii="Tahoma" w:hAnsi="Tahoma" w:cs="Tahoma"/>
          <w:sz w:val="20"/>
          <w:szCs w:val="20"/>
          <w:lang w:val="en-US"/>
        </w:rPr>
        <w:t>.</w:t>
      </w:r>
    </w:p>
    <w:p w14:paraId="30C7A515" w14:textId="77777777" w:rsidR="0012664F" w:rsidRPr="009A3EEE" w:rsidRDefault="0012664F" w:rsidP="0012664F">
      <w:pPr>
        <w:spacing w:after="120" w:line="240" w:lineRule="auto"/>
        <w:ind w:firstLine="567"/>
        <w:jc w:val="both"/>
        <w:rPr>
          <w:rFonts w:ascii="Tahoma" w:hAnsi="Tahoma" w:cs="Tahoma"/>
          <w:sz w:val="20"/>
          <w:szCs w:val="20"/>
        </w:rPr>
      </w:pPr>
      <w:r w:rsidRPr="009A3EEE">
        <w:rPr>
          <w:rFonts w:ascii="Tahoma" w:hAnsi="Tahoma" w:cs="Tahoma"/>
          <w:sz w:val="20"/>
          <w:szCs w:val="20"/>
        </w:rPr>
        <w:t>Специфична ниша е износът на храни и напитки за зареждане на българските магазини в Обединеното кралство</w:t>
      </w:r>
      <w:r>
        <w:rPr>
          <w:rFonts w:cs="Tahoma"/>
          <w:sz w:val="20"/>
          <w:szCs w:val="20"/>
        </w:rPr>
        <w:t xml:space="preserve"> (ОК)</w:t>
      </w:r>
      <w:r w:rsidRPr="009A3EEE">
        <w:rPr>
          <w:rFonts w:ascii="Tahoma" w:hAnsi="Tahoma" w:cs="Tahoma"/>
          <w:sz w:val="20"/>
          <w:szCs w:val="20"/>
        </w:rPr>
        <w:t>. Износът варира значително – между 40 и 70 мил. € годишно. Характерно е, че разнообразието от стоки е голямо, а партидите – малки. Макар да не се налагат мита, очакванията са, че вносът им в ОК ще се оскъпи значително, т.к. всяка партида митнически ще се обработва по отделно, а и ще изисква отделен санитарен или фитосанитарен сертификат съгласно изискванията на ОК. Изключение е Северна Ирландия, където ще могат да се доставят стоки, съответстващи на изискванията на ЕС.</w:t>
      </w:r>
      <w:r w:rsidRPr="009A3EEE">
        <w:rPr>
          <w:rFonts w:ascii="Tahoma" w:hAnsi="Tahoma" w:cs="Tahoma"/>
          <w:sz w:val="20"/>
          <w:szCs w:val="20"/>
          <w:lang w:val="en-US"/>
        </w:rPr>
        <w:t xml:space="preserve"> </w:t>
      </w:r>
      <w:r w:rsidRPr="009A3EEE">
        <w:rPr>
          <w:rFonts w:ascii="Tahoma" w:hAnsi="Tahoma" w:cs="Tahoma"/>
          <w:sz w:val="20"/>
          <w:szCs w:val="20"/>
        </w:rPr>
        <w:t>Етикетирането на стоките трябва да съответства на изискванията на ОК.</w:t>
      </w:r>
    </w:p>
    <w:tbl>
      <w:tblPr>
        <w:tblStyle w:val="GridTable1Light-Accent1"/>
        <w:tblW w:w="0" w:type="auto"/>
        <w:tblLook w:val="0420" w:firstRow="1" w:lastRow="0" w:firstColumn="0" w:lastColumn="0" w:noHBand="0" w:noVBand="1"/>
      </w:tblPr>
      <w:tblGrid>
        <w:gridCol w:w="7687"/>
        <w:gridCol w:w="1659"/>
      </w:tblGrid>
      <w:tr w:rsidR="0012664F" w:rsidRPr="009A3EEE" w14:paraId="3237EEAB" w14:textId="77777777" w:rsidTr="00672AD9">
        <w:trPr>
          <w:cnfStyle w:val="100000000000" w:firstRow="1" w:lastRow="0" w:firstColumn="0" w:lastColumn="0" w:oddVBand="0" w:evenVBand="0" w:oddHBand="0" w:evenHBand="0" w:firstRowFirstColumn="0" w:firstRowLastColumn="0" w:lastRowFirstColumn="0" w:lastRowLastColumn="0"/>
        </w:trPr>
        <w:tc>
          <w:tcPr>
            <w:tcW w:w="7933" w:type="dxa"/>
          </w:tcPr>
          <w:p w14:paraId="7614D830" w14:textId="77777777" w:rsidR="0012664F" w:rsidRPr="009A3EEE" w:rsidRDefault="0012664F" w:rsidP="00672AD9">
            <w:pPr>
              <w:spacing w:after="0" w:line="240" w:lineRule="auto"/>
              <w:jc w:val="center"/>
              <w:rPr>
                <w:rFonts w:ascii="Tahoma" w:hAnsi="Tahoma" w:cs="Tahoma"/>
                <w:sz w:val="20"/>
                <w:szCs w:val="20"/>
              </w:rPr>
            </w:pPr>
            <w:r w:rsidRPr="009A3EEE">
              <w:rPr>
                <w:rFonts w:ascii="Tahoma" w:hAnsi="Tahoma" w:cs="Tahoma"/>
                <w:sz w:val="20"/>
                <w:szCs w:val="20"/>
              </w:rPr>
              <w:t>Позиция</w:t>
            </w:r>
          </w:p>
        </w:tc>
        <w:tc>
          <w:tcPr>
            <w:tcW w:w="1695" w:type="dxa"/>
          </w:tcPr>
          <w:p w14:paraId="18B6A72B"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Обем мил. €</w:t>
            </w:r>
          </w:p>
        </w:tc>
      </w:tr>
      <w:tr w:rsidR="0012664F" w:rsidRPr="009A3EEE" w14:paraId="5E12A6D1" w14:textId="77777777" w:rsidTr="00672AD9">
        <w:tc>
          <w:tcPr>
            <w:tcW w:w="7933" w:type="dxa"/>
          </w:tcPr>
          <w:p w14:paraId="26CBEBFE"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Общ износ - около 2,5% от целия български износ</w:t>
            </w:r>
          </w:p>
        </w:tc>
        <w:tc>
          <w:tcPr>
            <w:tcW w:w="1695" w:type="dxa"/>
          </w:tcPr>
          <w:p w14:paraId="782928E4"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700</w:t>
            </w:r>
          </w:p>
        </w:tc>
      </w:tr>
      <w:tr w:rsidR="0012664F" w:rsidRPr="009A3EEE" w14:paraId="1E69E9B5" w14:textId="77777777" w:rsidTr="00672AD9">
        <w:tc>
          <w:tcPr>
            <w:tcW w:w="7933" w:type="dxa"/>
          </w:tcPr>
          <w:p w14:paraId="0C9680A9"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Електроника и електротехника</w:t>
            </w:r>
          </w:p>
        </w:tc>
        <w:tc>
          <w:tcPr>
            <w:tcW w:w="1695" w:type="dxa"/>
          </w:tcPr>
          <w:p w14:paraId="04D299FB"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67</w:t>
            </w:r>
          </w:p>
        </w:tc>
      </w:tr>
      <w:tr w:rsidR="0012664F" w:rsidRPr="009A3EEE" w14:paraId="120EAADA" w14:textId="77777777" w:rsidTr="00672AD9">
        <w:tc>
          <w:tcPr>
            <w:tcW w:w="7933" w:type="dxa"/>
          </w:tcPr>
          <w:p w14:paraId="60378F15"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Фармацевтични продукти</w:t>
            </w:r>
          </w:p>
        </w:tc>
        <w:tc>
          <w:tcPr>
            <w:tcW w:w="1695" w:type="dxa"/>
          </w:tcPr>
          <w:p w14:paraId="4E78F9A9"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48</w:t>
            </w:r>
          </w:p>
        </w:tc>
      </w:tr>
      <w:tr w:rsidR="0012664F" w:rsidRPr="009A3EEE" w14:paraId="21F14E18" w14:textId="77777777" w:rsidTr="00672AD9">
        <w:tc>
          <w:tcPr>
            <w:tcW w:w="7933" w:type="dxa"/>
          </w:tcPr>
          <w:p w14:paraId="57BD3A98"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Машини и апарати</w:t>
            </w:r>
          </w:p>
        </w:tc>
        <w:tc>
          <w:tcPr>
            <w:tcW w:w="1695" w:type="dxa"/>
          </w:tcPr>
          <w:p w14:paraId="117DCB6A"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44</w:t>
            </w:r>
          </w:p>
        </w:tc>
      </w:tr>
      <w:tr w:rsidR="0012664F" w:rsidRPr="009A3EEE" w14:paraId="368FF1DE" w14:textId="77777777" w:rsidTr="00672AD9">
        <w:tc>
          <w:tcPr>
            <w:tcW w:w="7933" w:type="dxa"/>
          </w:tcPr>
          <w:p w14:paraId="414DA51E"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Мебели, обзавеждане, осветителни тела</w:t>
            </w:r>
          </w:p>
        </w:tc>
        <w:tc>
          <w:tcPr>
            <w:tcW w:w="1695" w:type="dxa"/>
          </w:tcPr>
          <w:p w14:paraId="5AC444CA"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43</w:t>
            </w:r>
          </w:p>
        </w:tc>
      </w:tr>
      <w:tr w:rsidR="0012664F" w:rsidRPr="009A3EEE" w14:paraId="4CE806A5" w14:textId="77777777" w:rsidTr="00672AD9">
        <w:tc>
          <w:tcPr>
            <w:tcW w:w="7933" w:type="dxa"/>
          </w:tcPr>
          <w:p w14:paraId="4B3EAE7C"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Мед и медни изделия</w:t>
            </w:r>
          </w:p>
        </w:tc>
        <w:tc>
          <w:tcPr>
            <w:tcW w:w="1695" w:type="dxa"/>
          </w:tcPr>
          <w:p w14:paraId="3EB8A6E9"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37</w:t>
            </w:r>
          </w:p>
        </w:tc>
      </w:tr>
      <w:tr w:rsidR="0012664F" w:rsidRPr="009A3EEE" w14:paraId="2840F810" w14:textId="77777777" w:rsidTr="00672AD9">
        <w:tc>
          <w:tcPr>
            <w:tcW w:w="7933" w:type="dxa"/>
          </w:tcPr>
          <w:p w14:paraId="7C53C526"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Маслодайни семена, основно слънчоглед</w:t>
            </w:r>
          </w:p>
        </w:tc>
        <w:tc>
          <w:tcPr>
            <w:tcW w:w="1695" w:type="dxa"/>
          </w:tcPr>
          <w:p w14:paraId="34BF4182"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34</w:t>
            </w:r>
          </w:p>
        </w:tc>
      </w:tr>
      <w:tr w:rsidR="0012664F" w:rsidRPr="009A3EEE" w14:paraId="346B4E28" w14:textId="77777777" w:rsidTr="00672AD9">
        <w:tc>
          <w:tcPr>
            <w:tcW w:w="7933" w:type="dxa"/>
          </w:tcPr>
          <w:p w14:paraId="5F793D80"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Облекла – конфекция, и аксесоари</w:t>
            </w:r>
          </w:p>
        </w:tc>
        <w:tc>
          <w:tcPr>
            <w:tcW w:w="1695" w:type="dxa"/>
          </w:tcPr>
          <w:p w14:paraId="49394079"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33</w:t>
            </w:r>
          </w:p>
        </w:tc>
      </w:tr>
      <w:tr w:rsidR="0012664F" w:rsidRPr="009A3EEE" w14:paraId="24298844" w14:textId="77777777" w:rsidTr="00672AD9">
        <w:tc>
          <w:tcPr>
            <w:tcW w:w="7933" w:type="dxa"/>
          </w:tcPr>
          <w:p w14:paraId="13A21319"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 xml:space="preserve">Горива </w:t>
            </w:r>
          </w:p>
        </w:tc>
        <w:tc>
          <w:tcPr>
            <w:tcW w:w="1695" w:type="dxa"/>
          </w:tcPr>
          <w:p w14:paraId="4BC37342"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31</w:t>
            </w:r>
          </w:p>
        </w:tc>
      </w:tr>
      <w:tr w:rsidR="0012664F" w:rsidRPr="009A3EEE" w14:paraId="56B98502" w14:textId="77777777" w:rsidTr="00672AD9">
        <w:tc>
          <w:tcPr>
            <w:tcW w:w="7933" w:type="dxa"/>
          </w:tcPr>
          <w:p w14:paraId="685D51A6"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Пластмаси и изделия</w:t>
            </w:r>
          </w:p>
        </w:tc>
        <w:tc>
          <w:tcPr>
            <w:tcW w:w="1695" w:type="dxa"/>
          </w:tcPr>
          <w:p w14:paraId="5F1228F1"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28</w:t>
            </w:r>
          </w:p>
        </w:tc>
      </w:tr>
      <w:tr w:rsidR="0012664F" w:rsidRPr="009A3EEE" w14:paraId="1A1A57C3" w14:textId="77777777" w:rsidTr="00672AD9">
        <w:tc>
          <w:tcPr>
            <w:tcW w:w="7933" w:type="dxa"/>
          </w:tcPr>
          <w:p w14:paraId="2630874D" w14:textId="77777777" w:rsidR="0012664F" w:rsidRPr="009A3EEE" w:rsidRDefault="0012664F" w:rsidP="00672AD9">
            <w:pPr>
              <w:spacing w:after="0" w:line="240" w:lineRule="auto"/>
              <w:rPr>
                <w:rFonts w:ascii="Tahoma" w:hAnsi="Tahoma" w:cs="Tahoma"/>
                <w:sz w:val="20"/>
                <w:szCs w:val="20"/>
              </w:rPr>
            </w:pPr>
            <w:r w:rsidRPr="009A3EEE">
              <w:rPr>
                <w:rFonts w:ascii="Tahoma" w:hAnsi="Tahoma" w:cs="Tahoma"/>
                <w:sz w:val="20"/>
                <w:szCs w:val="20"/>
              </w:rPr>
              <w:t xml:space="preserve">Облекла – трикотажни </w:t>
            </w:r>
          </w:p>
        </w:tc>
        <w:tc>
          <w:tcPr>
            <w:tcW w:w="1695" w:type="dxa"/>
          </w:tcPr>
          <w:p w14:paraId="2EC36C31"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27</w:t>
            </w:r>
          </w:p>
        </w:tc>
      </w:tr>
    </w:tbl>
    <w:p w14:paraId="7FA5A402" w14:textId="77777777" w:rsidR="0012664F" w:rsidRPr="009A3EEE" w:rsidRDefault="0012664F" w:rsidP="0012664F">
      <w:pPr>
        <w:spacing w:after="120" w:line="240" w:lineRule="auto"/>
        <w:jc w:val="both"/>
        <w:rPr>
          <w:rFonts w:ascii="Tahoma" w:hAnsi="Tahoma" w:cs="Tahoma"/>
          <w:sz w:val="20"/>
          <w:szCs w:val="20"/>
        </w:rPr>
      </w:pPr>
    </w:p>
    <w:p w14:paraId="1091EE92" w14:textId="77777777" w:rsidR="0012664F" w:rsidRPr="009A3EEE" w:rsidRDefault="0012664F" w:rsidP="0012664F">
      <w:pPr>
        <w:shd w:val="clear" w:color="auto" w:fill="002060"/>
        <w:spacing w:after="120" w:line="240" w:lineRule="auto"/>
        <w:rPr>
          <w:rFonts w:ascii="Tahoma" w:hAnsi="Tahoma" w:cs="Tahoma"/>
          <w:b/>
          <w:sz w:val="20"/>
          <w:szCs w:val="20"/>
        </w:rPr>
      </w:pPr>
      <w:r w:rsidRPr="009A3EEE">
        <w:rPr>
          <w:rFonts w:ascii="Tahoma" w:hAnsi="Tahoma" w:cs="Tahoma"/>
          <w:b/>
          <w:sz w:val="20"/>
          <w:szCs w:val="20"/>
        </w:rPr>
        <w:t>Какво внася България (2019)</w:t>
      </w:r>
      <w:r>
        <w:rPr>
          <w:rFonts w:cs="Tahoma"/>
          <w:b/>
          <w:sz w:val="20"/>
          <w:szCs w:val="20"/>
        </w:rPr>
        <w:t>?</w:t>
      </w:r>
    </w:p>
    <w:p w14:paraId="497A04AC" w14:textId="77777777" w:rsidR="0012664F" w:rsidRPr="009A3EEE" w:rsidRDefault="0012664F" w:rsidP="0012664F">
      <w:pPr>
        <w:spacing w:after="120" w:line="240" w:lineRule="auto"/>
        <w:ind w:firstLine="567"/>
        <w:jc w:val="both"/>
        <w:rPr>
          <w:rFonts w:ascii="Tahoma" w:hAnsi="Tahoma" w:cs="Tahoma"/>
          <w:sz w:val="20"/>
          <w:szCs w:val="20"/>
        </w:rPr>
      </w:pPr>
      <w:r w:rsidRPr="009A3EEE">
        <w:rPr>
          <w:rFonts w:ascii="Tahoma" w:hAnsi="Tahoma" w:cs="Tahoma"/>
          <w:sz w:val="20"/>
          <w:szCs w:val="20"/>
        </w:rPr>
        <w:t>Аналогично, пред вноса на химическите продукти от ОК няма никаква пречки. Пластмаси – няма мита и нетарифни бариери. Машини, автомобили електроника - няма мита, но вероятно ще се наложи издаване на нови сертификати за съответствие. Фармацевтични продукти – няма мита, но регистрациите ще важат само до края на текущия им срок. Алкохолните напитки ще се внасят без мита, но съгласно правилата за внос на акцизни стоки от трети страни. Случаят с играчките следва да се проучи, т.к. вероятно значителна част от тях са с азиатски произход, а правилата за произход на стоките и кумулация на произход са променени значително.</w:t>
      </w:r>
    </w:p>
    <w:tbl>
      <w:tblPr>
        <w:tblStyle w:val="GridTable1Light-Accent1"/>
        <w:tblW w:w="0" w:type="auto"/>
        <w:tblLook w:val="0420" w:firstRow="1" w:lastRow="0" w:firstColumn="0" w:lastColumn="0" w:noHBand="0" w:noVBand="1"/>
      </w:tblPr>
      <w:tblGrid>
        <w:gridCol w:w="7687"/>
        <w:gridCol w:w="1659"/>
      </w:tblGrid>
      <w:tr w:rsidR="0012664F" w:rsidRPr="009A3EEE" w14:paraId="7752205C" w14:textId="77777777" w:rsidTr="00672AD9">
        <w:trPr>
          <w:cnfStyle w:val="100000000000" w:firstRow="1" w:lastRow="0" w:firstColumn="0" w:lastColumn="0" w:oddVBand="0" w:evenVBand="0" w:oddHBand="0" w:evenHBand="0" w:firstRowFirstColumn="0" w:firstRowLastColumn="0" w:lastRowFirstColumn="0" w:lastRowLastColumn="0"/>
        </w:trPr>
        <w:tc>
          <w:tcPr>
            <w:tcW w:w="7933" w:type="dxa"/>
          </w:tcPr>
          <w:p w14:paraId="691205B6" w14:textId="77777777" w:rsidR="0012664F" w:rsidRPr="009A3EEE" w:rsidRDefault="0012664F" w:rsidP="00672AD9">
            <w:pPr>
              <w:spacing w:after="0" w:line="240" w:lineRule="auto"/>
              <w:jc w:val="center"/>
              <w:rPr>
                <w:rFonts w:ascii="Tahoma" w:hAnsi="Tahoma" w:cs="Tahoma"/>
                <w:sz w:val="20"/>
                <w:szCs w:val="20"/>
              </w:rPr>
            </w:pPr>
            <w:r w:rsidRPr="009A3EEE">
              <w:rPr>
                <w:rFonts w:ascii="Tahoma" w:hAnsi="Tahoma" w:cs="Tahoma"/>
                <w:sz w:val="20"/>
                <w:szCs w:val="20"/>
              </w:rPr>
              <w:t>Позиция</w:t>
            </w:r>
          </w:p>
        </w:tc>
        <w:tc>
          <w:tcPr>
            <w:tcW w:w="1695" w:type="dxa"/>
          </w:tcPr>
          <w:p w14:paraId="7371FF0A"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t>Обем мил. €</w:t>
            </w:r>
          </w:p>
        </w:tc>
      </w:tr>
      <w:tr w:rsidR="0012664F" w:rsidRPr="009A3EEE" w14:paraId="041A76BF" w14:textId="77777777" w:rsidTr="00672AD9">
        <w:tc>
          <w:tcPr>
            <w:tcW w:w="7933" w:type="dxa"/>
          </w:tcPr>
          <w:p w14:paraId="24B061D5"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t>Общ внос - около 1,4% от целия български внос</w:t>
            </w:r>
          </w:p>
        </w:tc>
        <w:tc>
          <w:tcPr>
            <w:tcW w:w="1695" w:type="dxa"/>
          </w:tcPr>
          <w:p w14:paraId="1DA5FE53"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460</w:t>
            </w:r>
          </w:p>
        </w:tc>
      </w:tr>
      <w:tr w:rsidR="0012664F" w:rsidRPr="009A3EEE" w14:paraId="6A14E73A" w14:textId="77777777" w:rsidTr="00672AD9">
        <w:tc>
          <w:tcPr>
            <w:tcW w:w="7933" w:type="dxa"/>
          </w:tcPr>
          <w:p w14:paraId="064A2088"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t>Машини и апарати</w:t>
            </w:r>
          </w:p>
        </w:tc>
        <w:tc>
          <w:tcPr>
            <w:tcW w:w="1695" w:type="dxa"/>
          </w:tcPr>
          <w:p w14:paraId="64CEBC26"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94</w:t>
            </w:r>
          </w:p>
        </w:tc>
      </w:tr>
      <w:tr w:rsidR="0012664F" w:rsidRPr="009A3EEE" w14:paraId="580E83FF" w14:textId="77777777" w:rsidTr="00672AD9">
        <w:tc>
          <w:tcPr>
            <w:tcW w:w="7933" w:type="dxa"/>
          </w:tcPr>
          <w:p w14:paraId="3EF78BB7"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t>Пътни превозни средства</w:t>
            </w:r>
          </w:p>
        </w:tc>
        <w:tc>
          <w:tcPr>
            <w:tcW w:w="1695" w:type="dxa"/>
          </w:tcPr>
          <w:p w14:paraId="39B7B7AF"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52</w:t>
            </w:r>
          </w:p>
        </w:tc>
      </w:tr>
      <w:tr w:rsidR="0012664F" w:rsidRPr="009A3EEE" w14:paraId="7CA7477C" w14:textId="77777777" w:rsidTr="00672AD9">
        <w:tc>
          <w:tcPr>
            <w:tcW w:w="7933" w:type="dxa"/>
          </w:tcPr>
          <w:p w14:paraId="3FEABC28"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t>Електроника и електротехника</w:t>
            </w:r>
          </w:p>
        </w:tc>
        <w:tc>
          <w:tcPr>
            <w:tcW w:w="1695" w:type="dxa"/>
          </w:tcPr>
          <w:p w14:paraId="2B41214D"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46</w:t>
            </w:r>
          </w:p>
        </w:tc>
      </w:tr>
      <w:tr w:rsidR="0012664F" w:rsidRPr="009A3EEE" w14:paraId="39C2BB21" w14:textId="77777777" w:rsidTr="00672AD9">
        <w:tc>
          <w:tcPr>
            <w:tcW w:w="7933" w:type="dxa"/>
          </w:tcPr>
          <w:p w14:paraId="386E48F3"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t>Фармацевтични продукти</w:t>
            </w:r>
          </w:p>
        </w:tc>
        <w:tc>
          <w:tcPr>
            <w:tcW w:w="1695" w:type="dxa"/>
          </w:tcPr>
          <w:p w14:paraId="79F15124"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35</w:t>
            </w:r>
          </w:p>
        </w:tc>
      </w:tr>
      <w:tr w:rsidR="0012664F" w:rsidRPr="009A3EEE" w14:paraId="3E0B9C48" w14:textId="77777777" w:rsidTr="00672AD9">
        <w:tc>
          <w:tcPr>
            <w:tcW w:w="7933" w:type="dxa"/>
          </w:tcPr>
          <w:p w14:paraId="7E91ADF0"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t>Алкохолни напитки</w:t>
            </w:r>
          </w:p>
        </w:tc>
        <w:tc>
          <w:tcPr>
            <w:tcW w:w="1695" w:type="dxa"/>
          </w:tcPr>
          <w:p w14:paraId="35CABEEF"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26</w:t>
            </w:r>
          </w:p>
        </w:tc>
      </w:tr>
      <w:tr w:rsidR="0012664F" w:rsidRPr="009A3EEE" w14:paraId="417547C5" w14:textId="77777777" w:rsidTr="00672AD9">
        <w:tc>
          <w:tcPr>
            <w:tcW w:w="7933" w:type="dxa"/>
          </w:tcPr>
          <w:p w14:paraId="5E775E9B"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lastRenderedPageBreak/>
              <w:t>Пластмаси и изделия</w:t>
            </w:r>
          </w:p>
        </w:tc>
        <w:tc>
          <w:tcPr>
            <w:tcW w:w="1695" w:type="dxa"/>
          </w:tcPr>
          <w:p w14:paraId="24754218"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17</w:t>
            </w:r>
          </w:p>
        </w:tc>
      </w:tr>
      <w:tr w:rsidR="0012664F" w:rsidRPr="009A3EEE" w14:paraId="34C73ED6" w14:textId="77777777" w:rsidTr="00672AD9">
        <w:tc>
          <w:tcPr>
            <w:tcW w:w="7933" w:type="dxa"/>
          </w:tcPr>
          <w:p w14:paraId="4B4F1B1F"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t>Измервателни инструменти и апарати</w:t>
            </w:r>
          </w:p>
        </w:tc>
        <w:tc>
          <w:tcPr>
            <w:tcW w:w="1695" w:type="dxa"/>
          </w:tcPr>
          <w:p w14:paraId="34D043D6"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15</w:t>
            </w:r>
          </w:p>
        </w:tc>
      </w:tr>
      <w:tr w:rsidR="0012664F" w:rsidRPr="009A3EEE" w14:paraId="41FD465F" w14:textId="77777777" w:rsidTr="00672AD9">
        <w:tc>
          <w:tcPr>
            <w:tcW w:w="7933" w:type="dxa"/>
          </w:tcPr>
          <w:p w14:paraId="5AC26644"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t>Играчки</w:t>
            </w:r>
          </w:p>
        </w:tc>
        <w:tc>
          <w:tcPr>
            <w:tcW w:w="1695" w:type="dxa"/>
          </w:tcPr>
          <w:p w14:paraId="6EDA2654"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11</w:t>
            </w:r>
          </w:p>
        </w:tc>
      </w:tr>
      <w:tr w:rsidR="0012664F" w:rsidRPr="009A3EEE" w14:paraId="5F49E4DA" w14:textId="77777777" w:rsidTr="00672AD9">
        <w:tc>
          <w:tcPr>
            <w:tcW w:w="7933" w:type="dxa"/>
          </w:tcPr>
          <w:p w14:paraId="2C818D0B" w14:textId="77777777" w:rsidR="0012664F" w:rsidRPr="009A3EEE" w:rsidRDefault="0012664F" w:rsidP="00672AD9">
            <w:pPr>
              <w:spacing w:after="0" w:line="240" w:lineRule="auto"/>
              <w:jc w:val="both"/>
              <w:rPr>
                <w:rFonts w:ascii="Tahoma" w:hAnsi="Tahoma" w:cs="Tahoma"/>
                <w:sz w:val="20"/>
                <w:szCs w:val="20"/>
              </w:rPr>
            </w:pPr>
            <w:r w:rsidRPr="009A3EEE">
              <w:rPr>
                <w:rFonts w:ascii="Tahoma" w:hAnsi="Tahoma" w:cs="Tahoma"/>
                <w:sz w:val="20"/>
                <w:szCs w:val="20"/>
              </w:rPr>
              <w:t>Химически продукти</w:t>
            </w:r>
          </w:p>
        </w:tc>
        <w:tc>
          <w:tcPr>
            <w:tcW w:w="1695" w:type="dxa"/>
          </w:tcPr>
          <w:p w14:paraId="010CB35F" w14:textId="77777777" w:rsidR="0012664F" w:rsidRPr="009A3EEE" w:rsidRDefault="0012664F" w:rsidP="00672AD9">
            <w:pPr>
              <w:spacing w:after="0" w:line="240" w:lineRule="auto"/>
              <w:ind w:right="170"/>
              <w:jc w:val="right"/>
              <w:rPr>
                <w:rFonts w:ascii="Tahoma" w:hAnsi="Tahoma" w:cs="Tahoma"/>
                <w:sz w:val="20"/>
                <w:szCs w:val="20"/>
              </w:rPr>
            </w:pPr>
            <w:r w:rsidRPr="009A3EEE">
              <w:rPr>
                <w:rFonts w:ascii="Tahoma" w:hAnsi="Tahoma" w:cs="Tahoma"/>
                <w:sz w:val="20"/>
                <w:szCs w:val="20"/>
              </w:rPr>
              <w:t>10</w:t>
            </w:r>
          </w:p>
        </w:tc>
      </w:tr>
    </w:tbl>
    <w:p w14:paraId="30DD78E2" w14:textId="77777777" w:rsidR="0012664F" w:rsidRPr="009A3EEE" w:rsidRDefault="0012664F" w:rsidP="0012664F">
      <w:pPr>
        <w:spacing w:after="120" w:line="240" w:lineRule="auto"/>
        <w:jc w:val="both"/>
        <w:rPr>
          <w:rFonts w:ascii="Tahoma" w:hAnsi="Tahoma" w:cs="Tahoma"/>
          <w:sz w:val="20"/>
          <w:szCs w:val="20"/>
        </w:rPr>
      </w:pPr>
    </w:p>
    <w:p w14:paraId="3B733471" w14:textId="77777777" w:rsidR="0012664F" w:rsidRPr="009A3EEE" w:rsidRDefault="0012664F" w:rsidP="0012664F">
      <w:pPr>
        <w:shd w:val="clear" w:color="auto" w:fill="002060"/>
        <w:spacing w:after="120" w:line="240" w:lineRule="auto"/>
        <w:jc w:val="both"/>
        <w:rPr>
          <w:rFonts w:ascii="Tahoma" w:hAnsi="Tahoma" w:cs="Tahoma"/>
          <w:b/>
          <w:sz w:val="20"/>
          <w:szCs w:val="20"/>
        </w:rPr>
      </w:pPr>
      <w:r w:rsidRPr="009A3EEE">
        <w:rPr>
          <w:rFonts w:ascii="Tahoma" w:hAnsi="Tahoma" w:cs="Tahoma"/>
          <w:b/>
          <w:sz w:val="20"/>
          <w:szCs w:val="20"/>
        </w:rPr>
        <w:t>Какво губи България?</w:t>
      </w:r>
    </w:p>
    <w:p w14:paraId="4DAFB1AF" w14:textId="77777777" w:rsidR="0012664F" w:rsidRPr="009A3EEE" w:rsidRDefault="0012664F" w:rsidP="0012664F">
      <w:pPr>
        <w:spacing w:after="120" w:line="240" w:lineRule="auto"/>
        <w:ind w:firstLine="567"/>
        <w:jc w:val="both"/>
        <w:rPr>
          <w:rFonts w:ascii="Tahoma" w:hAnsi="Tahoma" w:cs="Tahoma"/>
          <w:sz w:val="20"/>
          <w:szCs w:val="20"/>
        </w:rPr>
      </w:pPr>
      <w:r w:rsidRPr="009A3EEE">
        <w:rPr>
          <w:rFonts w:ascii="Tahoma" w:hAnsi="Tahoma" w:cs="Tahoma"/>
          <w:sz w:val="20"/>
          <w:szCs w:val="20"/>
        </w:rPr>
        <w:t>България и ОК са двата географски края на ЕС. Интензивността на икономическите връзки не е на толкова високо ниво, както е при редица други страни</w:t>
      </w:r>
      <w:r>
        <w:rPr>
          <w:rFonts w:ascii="Tahoma" w:hAnsi="Tahoma" w:cs="Tahoma"/>
          <w:sz w:val="20"/>
          <w:szCs w:val="20"/>
        </w:rPr>
        <w:t>-</w:t>
      </w:r>
      <w:r w:rsidRPr="009A3EEE">
        <w:rPr>
          <w:rFonts w:ascii="Tahoma" w:hAnsi="Tahoma" w:cs="Tahoma"/>
          <w:sz w:val="20"/>
          <w:szCs w:val="20"/>
        </w:rPr>
        <w:t>членки (на този етап се счита, че най-засегнати са Ирландия, Франция и Холандия). С изключение на някои британски фармацевтични продукти, нищо от вноса не е от изключителна важност. И все пак…</w:t>
      </w:r>
    </w:p>
    <w:p w14:paraId="68407039" w14:textId="77777777" w:rsidR="0012664F" w:rsidRPr="009A3EEE" w:rsidRDefault="0012664F" w:rsidP="0012664F">
      <w:pPr>
        <w:pStyle w:val="ListParagraph"/>
        <w:numPr>
          <w:ilvl w:val="0"/>
          <w:numId w:val="19"/>
        </w:numPr>
        <w:spacing w:after="120" w:line="240" w:lineRule="auto"/>
        <w:ind w:left="851" w:hanging="284"/>
        <w:jc w:val="both"/>
        <w:rPr>
          <w:rFonts w:ascii="Tahoma" w:hAnsi="Tahoma" w:cs="Tahoma"/>
          <w:sz w:val="20"/>
          <w:szCs w:val="20"/>
        </w:rPr>
      </w:pPr>
      <w:r w:rsidRPr="009A3EEE">
        <w:rPr>
          <w:rFonts w:ascii="Tahoma" w:hAnsi="Tahoma" w:cs="Tahoma"/>
          <w:sz w:val="20"/>
          <w:szCs w:val="20"/>
        </w:rPr>
        <w:t>ОК бе един от корективите на брюкселската администрация, която все повече затъва в правила и процедури. Може да се очаква задълбочаване на бюрокрацията под натиска на 1) Полша, 2) Германия, и 3) Франция, най-вероятно в този ред. Ще отслабне гласът на „практичните“ скандинавски държави и Холандия, към които се присъедини и Австрия. Като цяло, прозрачността в работата на европейските структури ще намалее в полза на южните държави.</w:t>
      </w:r>
    </w:p>
    <w:p w14:paraId="0B1E18E5" w14:textId="77777777" w:rsidR="0012664F" w:rsidRPr="009A3EEE" w:rsidRDefault="0012664F" w:rsidP="0012664F">
      <w:pPr>
        <w:pStyle w:val="ListParagraph"/>
        <w:numPr>
          <w:ilvl w:val="0"/>
          <w:numId w:val="19"/>
        </w:numPr>
        <w:spacing w:after="120" w:line="240" w:lineRule="auto"/>
        <w:ind w:left="851" w:hanging="284"/>
        <w:jc w:val="both"/>
        <w:rPr>
          <w:rFonts w:ascii="Tahoma" w:hAnsi="Tahoma" w:cs="Tahoma"/>
          <w:sz w:val="20"/>
          <w:szCs w:val="20"/>
        </w:rPr>
      </w:pPr>
      <w:r w:rsidRPr="009A3EEE">
        <w:rPr>
          <w:rFonts w:ascii="Tahoma" w:hAnsi="Tahoma" w:cs="Tahoma"/>
          <w:sz w:val="20"/>
          <w:szCs w:val="20"/>
        </w:rPr>
        <w:t xml:space="preserve">ОК продължава да е символ на иновативната мисъл в Европа. Това, заедно със свободата на предприемачеството носеше позитиви на ЕС. След </w:t>
      </w:r>
      <w:r w:rsidRPr="009A3EEE">
        <w:rPr>
          <w:rFonts w:ascii="Tahoma" w:hAnsi="Tahoma" w:cs="Tahoma"/>
          <w:sz w:val="20"/>
          <w:szCs w:val="20"/>
          <w:lang w:val="en-US"/>
        </w:rPr>
        <w:t>Brexit</w:t>
      </w:r>
      <w:r w:rsidRPr="009A3EEE">
        <w:rPr>
          <w:rFonts w:ascii="Tahoma" w:hAnsi="Tahoma" w:cs="Tahoma"/>
          <w:sz w:val="20"/>
          <w:szCs w:val="20"/>
        </w:rPr>
        <w:t xml:space="preserve"> ЕС ще падне още по-ниско в международните класации, свързани с изследователската и развойната дейност и иновациите. ЕС губи много от прагматизма на британските научни изследвания. Ред български изследователски центрове имат тясно сътрудничество с такива от ОК.</w:t>
      </w:r>
    </w:p>
    <w:p w14:paraId="1CADC908" w14:textId="77777777" w:rsidR="0012664F" w:rsidRPr="009A3EEE" w:rsidRDefault="0012664F" w:rsidP="0012664F">
      <w:pPr>
        <w:pStyle w:val="ListParagraph"/>
        <w:numPr>
          <w:ilvl w:val="0"/>
          <w:numId w:val="19"/>
        </w:numPr>
        <w:spacing w:after="120" w:line="240" w:lineRule="auto"/>
        <w:ind w:left="851" w:hanging="284"/>
        <w:jc w:val="both"/>
        <w:rPr>
          <w:rFonts w:ascii="Tahoma" w:hAnsi="Tahoma" w:cs="Tahoma"/>
          <w:sz w:val="20"/>
          <w:szCs w:val="20"/>
        </w:rPr>
      </w:pPr>
      <w:r w:rsidRPr="009A3EEE">
        <w:rPr>
          <w:rFonts w:ascii="Tahoma" w:hAnsi="Tahoma" w:cs="Tahoma"/>
          <w:sz w:val="20"/>
          <w:szCs w:val="20"/>
        </w:rPr>
        <w:t>ОК бе седалището на около половината от изцяло частните инвеститори в Европа. В последните години драстичната разлика с континента намалява за сметка на новоучредени в ЕС инвестиционни фондове под формата на различни публично-частни партньорства. В България също се създадоха такива фондове. В БСК виждаме някои негативи на формата: Фондове с частично публично финансиране правят разходи за намиране и подпомагане на иновативни старт-ъпи, а когато някой от старт-ъпите набере инерция, в собствеността му влиза някое физическо лице, свързано с фонда, а не самия фонд. Т.е. негативите са за фонд под ПЧП, а позитивите (поне част от тях) се приватизират. Наблюдават се трансфери на частни фондове от острова към континента и тяхната конкуренция ще ускори лечението на детските болести с публично-частните фондове в ЕС.</w:t>
      </w:r>
    </w:p>
    <w:p w14:paraId="52060874" w14:textId="77777777" w:rsidR="0012664F" w:rsidRDefault="0012664F" w:rsidP="0012664F">
      <w:pPr>
        <w:spacing w:line="240" w:lineRule="auto"/>
        <w:ind w:firstLine="567"/>
        <w:jc w:val="both"/>
        <w:rPr>
          <w:rFonts w:cs="Tahoma"/>
          <w:sz w:val="20"/>
          <w:szCs w:val="20"/>
        </w:rPr>
      </w:pPr>
      <w:r w:rsidRPr="009A3EEE">
        <w:rPr>
          <w:rFonts w:ascii="Tahoma" w:hAnsi="Tahoma" w:cs="Tahoma"/>
          <w:sz w:val="20"/>
          <w:szCs w:val="20"/>
        </w:rPr>
        <w:t>Изброените три негативни тенденции изглеждат далечни</w:t>
      </w:r>
      <w:r>
        <w:rPr>
          <w:rFonts w:cs="Tahoma"/>
          <w:sz w:val="20"/>
          <w:szCs w:val="20"/>
        </w:rPr>
        <w:t xml:space="preserve"> за България, но</w:t>
      </w:r>
      <w:r w:rsidRPr="009A3EEE">
        <w:rPr>
          <w:rFonts w:ascii="Tahoma" w:hAnsi="Tahoma" w:cs="Tahoma"/>
          <w:sz w:val="20"/>
          <w:szCs w:val="20"/>
        </w:rPr>
        <w:t xml:space="preserve"> всъщност определят макрорамката на развитието ни. Има и други потенциално негативни фактори, но изброените са най-значимите дългосрочно, вероятно в посочения ред.</w:t>
      </w:r>
    </w:p>
    <w:p w14:paraId="4C7F2E18" w14:textId="77777777" w:rsidR="0012664F" w:rsidRPr="009A3EEE" w:rsidRDefault="0012664F" w:rsidP="0012664F">
      <w:pPr>
        <w:spacing w:after="120" w:line="240" w:lineRule="auto"/>
        <w:ind w:firstLine="567"/>
        <w:jc w:val="both"/>
        <w:rPr>
          <w:rFonts w:ascii="Tahoma" w:hAnsi="Tahoma" w:cs="Tahoma"/>
          <w:sz w:val="20"/>
          <w:szCs w:val="20"/>
        </w:rPr>
      </w:pPr>
    </w:p>
    <w:p w14:paraId="46183465" w14:textId="77777777" w:rsidR="0012664F" w:rsidRPr="009A3EEE" w:rsidRDefault="0012664F" w:rsidP="0012664F">
      <w:pPr>
        <w:shd w:val="clear" w:color="auto" w:fill="002060"/>
        <w:spacing w:after="120" w:line="240" w:lineRule="auto"/>
        <w:jc w:val="both"/>
        <w:rPr>
          <w:rFonts w:ascii="Tahoma" w:hAnsi="Tahoma" w:cs="Tahoma"/>
          <w:b/>
          <w:sz w:val="20"/>
          <w:szCs w:val="20"/>
        </w:rPr>
      </w:pPr>
      <w:r w:rsidRPr="009A3EEE">
        <w:rPr>
          <w:rFonts w:ascii="Tahoma" w:hAnsi="Tahoma" w:cs="Tahoma"/>
          <w:b/>
          <w:sz w:val="20"/>
          <w:szCs w:val="20"/>
        </w:rPr>
        <w:t>Общите правила на споразумението</w:t>
      </w:r>
    </w:p>
    <w:p w14:paraId="299EF330" w14:textId="77777777" w:rsidR="0012664F" w:rsidRPr="00B66419" w:rsidRDefault="0012664F" w:rsidP="00B66419">
      <w:pPr>
        <w:spacing w:after="120" w:line="240" w:lineRule="auto"/>
        <w:ind w:left="360"/>
        <w:jc w:val="both"/>
        <w:rPr>
          <w:rFonts w:ascii="Tahoma" w:hAnsi="Tahoma" w:cs="Tahoma"/>
          <w:sz w:val="20"/>
          <w:szCs w:val="20"/>
        </w:rPr>
      </w:pPr>
      <w:r w:rsidRPr="00B66419">
        <w:rPr>
          <w:rFonts w:ascii="Tahoma" w:hAnsi="Tahoma" w:cs="Tahoma"/>
          <w:sz w:val="20"/>
          <w:szCs w:val="20"/>
        </w:rPr>
        <w:t>От сключването на сделката насам обществеността е залята от информация за договорености, процедури и общи положения. Ще направим опит да отсеем това, което касае най-много български икономически оператори.</w:t>
      </w:r>
    </w:p>
    <w:p w14:paraId="51E452E0" w14:textId="77777777" w:rsidR="0012664F" w:rsidRPr="00E630E7" w:rsidRDefault="0012664F" w:rsidP="0012664F">
      <w:pPr>
        <w:pStyle w:val="ListParagraph"/>
        <w:numPr>
          <w:ilvl w:val="0"/>
          <w:numId w:val="20"/>
        </w:numPr>
        <w:spacing w:after="120" w:line="240" w:lineRule="auto"/>
        <w:jc w:val="both"/>
        <w:rPr>
          <w:rFonts w:ascii="Tahoma" w:hAnsi="Tahoma" w:cs="Tahoma"/>
          <w:sz w:val="20"/>
          <w:szCs w:val="20"/>
        </w:rPr>
      </w:pPr>
      <w:r w:rsidRPr="00E630E7">
        <w:rPr>
          <w:rFonts w:ascii="Tahoma" w:hAnsi="Tahoma" w:cs="Tahoma"/>
          <w:sz w:val="20"/>
          <w:szCs w:val="20"/>
        </w:rPr>
        <w:t>Липса на тарифни и квотни ограничения.</w:t>
      </w:r>
    </w:p>
    <w:p w14:paraId="3F4C3E6E" w14:textId="77777777" w:rsidR="0012664F" w:rsidRPr="00E630E7" w:rsidRDefault="0012664F" w:rsidP="0012664F">
      <w:pPr>
        <w:pStyle w:val="ListParagraph"/>
        <w:numPr>
          <w:ilvl w:val="0"/>
          <w:numId w:val="20"/>
        </w:numPr>
        <w:spacing w:after="120" w:line="240" w:lineRule="auto"/>
        <w:jc w:val="both"/>
        <w:rPr>
          <w:rFonts w:ascii="Tahoma" w:hAnsi="Tahoma" w:cs="Tahoma"/>
          <w:sz w:val="20"/>
          <w:szCs w:val="20"/>
        </w:rPr>
      </w:pPr>
      <w:r w:rsidRPr="00E630E7">
        <w:rPr>
          <w:rFonts w:ascii="Tahoma" w:hAnsi="Tahoma" w:cs="Tahoma"/>
          <w:sz w:val="20"/>
          <w:szCs w:val="20"/>
        </w:rPr>
        <w:t>Правилата за начисляване на ДДС са както при търговия с трети страни.</w:t>
      </w:r>
    </w:p>
    <w:p w14:paraId="6B03E0BE" w14:textId="77777777" w:rsidR="0012664F" w:rsidRPr="00E630E7" w:rsidRDefault="0012664F" w:rsidP="0012664F">
      <w:pPr>
        <w:pStyle w:val="ListParagraph"/>
        <w:numPr>
          <w:ilvl w:val="0"/>
          <w:numId w:val="20"/>
        </w:numPr>
        <w:spacing w:after="120" w:line="240" w:lineRule="auto"/>
        <w:jc w:val="both"/>
        <w:rPr>
          <w:rFonts w:ascii="Tahoma" w:hAnsi="Tahoma" w:cs="Tahoma"/>
          <w:sz w:val="20"/>
          <w:szCs w:val="20"/>
        </w:rPr>
      </w:pPr>
      <w:r w:rsidRPr="00E630E7">
        <w:rPr>
          <w:rFonts w:ascii="Tahoma" w:hAnsi="Tahoma" w:cs="Tahoma"/>
          <w:sz w:val="20"/>
          <w:szCs w:val="20"/>
        </w:rPr>
        <w:t xml:space="preserve">Променят се правилата за произход на стоките. Стоки и материали с произход от ЕС, вложени в британско производство, ще бъдат считани за британски при износа им към ЕС и обратно. ОК не успя да договори ресурси с произход от страни като Китай, Турция и Япония да бъдат третирани равнопоставено с тези от ЕС. Това осигурява конкурентно предимство на българските стоки като електроника, електротехника, машинни, автомобилни части и акумулатори. ОК постигна шестгодишен гратисен период за нулеви мита за електромобили, след който ще се изисква въвеждане на 10% мито, в случай, че съдържанието на компоненти от трети страни надхвърля 55%. ЕК разработи инструмент за самооценка произхода на стоките </w:t>
      </w:r>
      <w:r w:rsidRPr="00E630E7">
        <w:rPr>
          <w:rFonts w:ascii="Tahoma" w:hAnsi="Tahoma" w:cs="Tahoma"/>
          <w:sz w:val="20"/>
          <w:szCs w:val="20"/>
          <w:lang w:val="en-US"/>
        </w:rPr>
        <w:t>ROSA</w:t>
      </w:r>
      <w:r w:rsidRPr="00E630E7">
        <w:rPr>
          <w:rFonts w:ascii="Tahoma" w:hAnsi="Tahoma" w:cs="Tahoma"/>
          <w:sz w:val="20"/>
          <w:szCs w:val="20"/>
        </w:rPr>
        <w:t>, който е препоръчително да се ползва в началния период след влизане на споразумението в сила.</w:t>
      </w:r>
    </w:p>
    <w:p w14:paraId="0ED1D09D" w14:textId="77777777" w:rsidR="0012664F" w:rsidRPr="00E630E7" w:rsidRDefault="0012664F" w:rsidP="0012664F">
      <w:pPr>
        <w:pStyle w:val="ListParagraph"/>
        <w:numPr>
          <w:ilvl w:val="0"/>
          <w:numId w:val="20"/>
        </w:numPr>
        <w:spacing w:after="120" w:line="240" w:lineRule="auto"/>
        <w:jc w:val="both"/>
        <w:rPr>
          <w:rFonts w:ascii="Tahoma" w:hAnsi="Tahoma" w:cs="Tahoma"/>
          <w:sz w:val="20"/>
          <w:szCs w:val="20"/>
        </w:rPr>
      </w:pPr>
      <w:r w:rsidRPr="00E630E7">
        <w:rPr>
          <w:rFonts w:ascii="Tahoma" w:hAnsi="Tahoma" w:cs="Tahoma"/>
          <w:sz w:val="20"/>
          <w:szCs w:val="20"/>
        </w:rPr>
        <w:t>Постигнато е споразумение и за разрешаването на бъдещи спорове относно търговските правила и стандарти. За целта е съгласувана процедура за третиране на такива случаи, като се очаква и създаването на двустранна управляваща комисия.</w:t>
      </w:r>
    </w:p>
    <w:p w14:paraId="223CC69E" w14:textId="77777777" w:rsidR="0012664F" w:rsidRPr="00E630E7" w:rsidRDefault="0012664F" w:rsidP="0012664F">
      <w:pPr>
        <w:pStyle w:val="ListParagraph"/>
        <w:numPr>
          <w:ilvl w:val="0"/>
          <w:numId w:val="20"/>
        </w:numPr>
        <w:spacing w:after="120" w:line="240" w:lineRule="auto"/>
        <w:jc w:val="both"/>
        <w:rPr>
          <w:rFonts w:ascii="Tahoma" w:hAnsi="Tahoma" w:cs="Tahoma"/>
          <w:sz w:val="20"/>
          <w:szCs w:val="20"/>
        </w:rPr>
      </w:pPr>
      <w:r w:rsidRPr="00E630E7">
        <w:rPr>
          <w:rFonts w:ascii="Tahoma" w:hAnsi="Tahoma" w:cs="Tahoma"/>
          <w:sz w:val="20"/>
          <w:szCs w:val="20"/>
        </w:rPr>
        <w:lastRenderedPageBreak/>
        <w:t xml:space="preserve">Постигнато е споразумение относно прилагането на минимални екологични, социални и трудови стандарти, което не предвижда автоматичното налагане на тарифни санкции в случай на неспазването им. </w:t>
      </w:r>
    </w:p>
    <w:p w14:paraId="109C5BFD" w14:textId="77777777" w:rsidR="0012664F" w:rsidRPr="00E630E7" w:rsidRDefault="0012664F" w:rsidP="0012664F">
      <w:pPr>
        <w:pStyle w:val="ListParagraph"/>
        <w:numPr>
          <w:ilvl w:val="0"/>
          <w:numId w:val="20"/>
        </w:numPr>
        <w:spacing w:after="120" w:line="240" w:lineRule="auto"/>
        <w:jc w:val="both"/>
        <w:rPr>
          <w:rFonts w:ascii="Tahoma" w:hAnsi="Tahoma" w:cs="Tahoma"/>
          <w:sz w:val="20"/>
          <w:szCs w:val="20"/>
        </w:rPr>
      </w:pPr>
      <w:r w:rsidRPr="00E630E7">
        <w:rPr>
          <w:rFonts w:ascii="Tahoma" w:hAnsi="Tahoma" w:cs="Tahoma"/>
          <w:sz w:val="20"/>
          <w:szCs w:val="20"/>
        </w:rPr>
        <w:t>Продължава се валидността на съществуващите договорености по отношение на транспорта. Ограничават се каботажните права на британските превозвачи, което може да се окаже добра възможност за българските транспортни фирми да заемат тази пазарна ниша.</w:t>
      </w:r>
    </w:p>
    <w:p w14:paraId="5981C26A" w14:textId="77777777" w:rsidR="0012664F" w:rsidRPr="00E630E7" w:rsidRDefault="0012664F" w:rsidP="0012664F">
      <w:pPr>
        <w:pStyle w:val="ListParagraph"/>
        <w:numPr>
          <w:ilvl w:val="0"/>
          <w:numId w:val="20"/>
        </w:numPr>
        <w:spacing w:after="120" w:line="240" w:lineRule="auto"/>
        <w:jc w:val="both"/>
        <w:rPr>
          <w:rFonts w:ascii="Tahoma" w:hAnsi="Tahoma" w:cs="Tahoma"/>
          <w:sz w:val="20"/>
          <w:szCs w:val="20"/>
        </w:rPr>
      </w:pPr>
      <w:r w:rsidRPr="00E630E7">
        <w:rPr>
          <w:rFonts w:ascii="Tahoma" w:hAnsi="Tahoma" w:cs="Tahoma"/>
          <w:sz w:val="20"/>
          <w:szCs w:val="20"/>
        </w:rPr>
        <w:t>Услугите не са включени в обхвата на споразумението. Британската икономика е силно зависима от услугите, тъй като 80% от БВП на страната се генерират от този сектор. ОК стана първата държава в света, чийто износ на услуги надхвърли този на стоки.</w:t>
      </w:r>
    </w:p>
    <w:p w14:paraId="620C3D9D" w14:textId="77777777" w:rsidR="0012664F" w:rsidRPr="00E630E7" w:rsidRDefault="0012664F" w:rsidP="0012664F">
      <w:pPr>
        <w:pStyle w:val="ListParagraph"/>
        <w:numPr>
          <w:ilvl w:val="0"/>
          <w:numId w:val="20"/>
        </w:numPr>
        <w:spacing w:after="120" w:line="240" w:lineRule="auto"/>
        <w:jc w:val="both"/>
        <w:rPr>
          <w:rFonts w:ascii="Tahoma" w:hAnsi="Tahoma" w:cs="Tahoma"/>
          <w:sz w:val="20"/>
          <w:szCs w:val="20"/>
        </w:rPr>
      </w:pPr>
      <w:r w:rsidRPr="00E630E7">
        <w:rPr>
          <w:rFonts w:ascii="Tahoma" w:hAnsi="Tahoma" w:cs="Tahoma"/>
          <w:sz w:val="20"/>
          <w:szCs w:val="20"/>
        </w:rPr>
        <w:t>След 1 януари регистрирането на фирми и откриване на банкови сметки във Великобритания за българските предприемачи значително се усложнява.</w:t>
      </w:r>
    </w:p>
    <w:p w14:paraId="0AA49976" w14:textId="77777777" w:rsidR="0012664F" w:rsidRPr="00E630E7" w:rsidRDefault="0012664F" w:rsidP="0012664F">
      <w:pPr>
        <w:pStyle w:val="ListParagraph"/>
        <w:numPr>
          <w:ilvl w:val="0"/>
          <w:numId w:val="20"/>
        </w:numPr>
        <w:spacing w:after="120" w:line="240" w:lineRule="auto"/>
        <w:jc w:val="both"/>
        <w:rPr>
          <w:rFonts w:ascii="Tahoma" w:hAnsi="Tahoma" w:cs="Tahoma"/>
          <w:sz w:val="20"/>
          <w:szCs w:val="20"/>
        </w:rPr>
      </w:pPr>
      <w:r w:rsidRPr="00E630E7">
        <w:rPr>
          <w:rFonts w:ascii="Tahoma" w:hAnsi="Tahoma" w:cs="Tahoma"/>
          <w:sz w:val="20"/>
          <w:szCs w:val="20"/>
        </w:rPr>
        <w:t>ОК запазва участието си в програмите на ЕС „Хоризонт“ и „Коперник“, както и членството си в „Евроатом“. Значителна загуба за българското образование е оттеглянето на ОК от програмата „Еразмус“, с изключение на университетите в Северна Ирландия.</w:t>
      </w:r>
    </w:p>
    <w:p w14:paraId="67A00D25" w14:textId="77777777" w:rsidR="0012664F" w:rsidRPr="00E630E7" w:rsidRDefault="0012664F" w:rsidP="0012664F">
      <w:pPr>
        <w:pStyle w:val="ListParagraph"/>
        <w:numPr>
          <w:ilvl w:val="0"/>
          <w:numId w:val="20"/>
        </w:numPr>
        <w:spacing w:after="120" w:line="240" w:lineRule="auto"/>
        <w:jc w:val="both"/>
        <w:rPr>
          <w:rFonts w:ascii="Tahoma" w:hAnsi="Tahoma" w:cs="Tahoma"/>
          <w:sz w:val="20"/>
          <w:szCs w:val="20"/>
        </w:rPr>
      </w:pPr>
      <w:r w:rsidRPr="00E630E7">
        <w:rPr>
          <w:rFonts w:ascii="Tahoma" w:hAnsi="Tahoma" w:cs="Tahoma"/>
          <w:sz w:val="20"/>
          <w:szCs w:val="20"/>
        </w:rPr>
        <w:t>Споразумението обхваща и трансфера на данни.</w:t>
      </w:r>
    </w:p>
    <w:p w14:paraId="02253703" w14:textId="77777777" w:rsidR="0012664F" w:rsidRPr="006D451E" w:rsidRDefault="0012664F" w:rsidP="006D451E">
      <w:pPr>
        <w:spacing w:after="120" w:line="240" w:lineRule="auto"/>
        <w:ind w:left="360"/>
        <w:jc w:val="both"/>
        <w:rPr>
          <w:rFonts w:ascii="Tahoma" w:hAnsi="Tahoma" w:cs="Tahoma"/>
          <w:sz w:val="20"/>
          <w:szCs w:val="20"/>
        </w:rPr>
      </w:pPr>
      <w:r w:rsidRPr="006D451E">
        <w:rPr>
          <w:rFonts w:ascii="Tahoma" w:hAnsi="Tahoma" w:cs="Tahoma"/>
          <w:sz w:val="20"/>
          <w:szCs w:val="20"/>
        </w:rPr>
        <w:t>Постигнатото споразумение ще даде възможност на българските фирми да продължат да реализират износ към ОК, но въвеждането на новите експортни процедури ще доведе до известно оскъпяване на процеса. Някои сектори като услугите и информационни технологии ще останат привлекателни за британските инвеститори и след Брекзит.</w:t>
      </w:r>
    </w:p>
    <w:p w14:paraId="68BC1726" w14:textId="77777777" w:rsidR="0012664F" w:rsidRPr="009A3EEE" w:rsidRDefault="0012664F" w:rsidP="0012664F">
      <w:pPr>
        <w:spacing w:line="240" w:lineRule="auto"/>
        <w:jc w:val="both"/>
        <w:rPr>
          <w:rFonts w:cs="Tahoma"/>
          <w:sz w:val="20"/>
          <w:szCs w:val="20"/>
        </w:rPr>
      </w:pPr>
    </w:p>
    <w:p w14:paraId="12D0FB54" w14:textId="77777777" w:rsidR="0012664F" w:rsidRPr="009A3EEE" w:rsidRDefault="0012664F" w:rsidP="0012664F">
      <w:pPr>
        <w:shd w:val="clear" w:color="auto" w:fill="002060"/>
        <w:spacing w:after="120" w:line="240" w:lineRule="auto"/>
        <w:jc w:val="both"/>
        <w:rPr>
          <w:rFonts w:ascii="Tahoma" w:hAnsi="Tahoma" w:cs="Tahoma"/>
          <w:b/>
          <w:sz w:val="20"/>
          <w:szCs w:val="20"/>
        </w:rPr>
      </w:pPr>
      <w:r w:rsidRPr="009A3EEE">
        <w:rPr>
          <w:rFonts w:ascii="Tahoma" w:hAnsi="Tahoma" w:cs="Tahoma"/>
          <w:b/>
          <w:sz w:val="20"/>
          <w:szCs w:val="20"/>
        </w:rPr>
        <w:t>Проблеми</w:t>
      </w:r>
    </w:p>
    <w:p w14:paraId="76468CEB" w14:textId="77777777" w:rsidR="0012664F" w:rsidRPr="00E630E7" w:rsidRDefault="0012664F" w:rsidP="0012664F">
      <w:pPr>
        <w:pStyle w:val="ListParagraph"/>
        <w:numPr>
          <w:ilvl w:val="0"/>
          <w:numId w:val="21"/>
        </w:numPr>
        <w:spacing w:after="120" w:line="240" w:lineRule="auto"/>
        <w:jc w:val="both"/>
        <w:rPr>
          <w:rFonts w:ascii="Tahoma" w:hAnsi="Tahoma" w:cs="Tahoma"/>
          <w:sz w:val="20"/>
          <w:szCs w:val="20"/>
        </w:rPr>
      </w:pPr>
      <w:r w:rsidRPr="00E630E7">
        <w:rPr>
          <w:rFonts w:ascii="Tahoma" w:hAnsi="Tahoma" w:cs="Tahoma"/>
          <w:sz w:val="20"/>
          <w:szCs w:val="20"/>
        </w:rPr>
        <w:t>Оценява се, че търговските потоци след 1.1.2021 г. са около 50% от нормалното. Макар доста европейски фирми да се въздържат от дейност за и от ОК, вече се появиха сигнали за проблеми. ВВС съобщава за големи забавяния – до 48 часа, по пристанищата поради рязко увеличената документална работа. Най-натовареният участък е Кале – Дувър. Шофьорите на камиони се оплакват от липса на каквито и да е условия за преживяване на принудителния престой – тоалетни, вода, храна.</w:t>
      </w:r>
    </w:p>
    <w:p w14:paraId="0B99178C" w14:textId="77777777" w:rsidR="0012664F" w:rsidRPr="00E630E7" w:rsidRDefault="0012664F" w:rsidP="0012664F">
      <w:pPr>
        <w:pStyle w:val="ListParagraph"/>
        <w:numPr>
          <w:ilvl w:val="0"/>
          <w:numId w:val="21"/>
        </w:numPr>
        <w:spacing w:after="120" w:line="240" w:lineRule="auto"/>
        <w:jc w:val="both"/>
        <w:rPr>
          <w:rFonts w:ascii="Tahoma" w:hAnsi="Tahoma" w:cs="Tahoma"/>
          <w:sz w:val="20"/>
          <w:szCs w:val="20"/>
        </w:rPr>
      </w:pPr>
      <w:r w:rsidRPr="00E630E7">
        <w:rPr>
          <w:rFonts w:ascii="Tahoma" w:hAnsi="Tahoma" w:cs="Tahoma"/>
          <w:sz w:val="20"/>
          <w:szCs w:val="20"/>
        </w:rPr>
        <w:t>Оказва се, че много търговци извън Европа не са запознати с новите правила. Техни стоки са влезли в ОК, но нямат нужните документи, за да продължат за държавите от ЕС.</w:t>
      </w:r>
    </w:p>
    <w:p w14:paraId="0B291939" w14:textId="77777777" w:rsidR="0012664F" w:rsidRPr="00E630E7" w:rsidRDefault="0012664F" w:rsidP="0012664F">
      <w:pPr>
        <w:pStyle w:val="ListParagraph"/>
        <w:numPr>
          <w:ilvl w:val="0"/>
          <w:numId w:val="21"/>
        </w:numPr>
        <w:spacing w:after="120" w:line="240" w:lineRule="auto"/>
        <w:jc w:val="both"/>
        <w:rPr>
          <w:rFonts w:ascii="Tahoma" w:hAnsi="Tahoma" w:cs="Tahoma"/>
          <w:sz w:val="20"/>
          <w:szCs w:val="20"/>
        </w:rPr>
      </w:pPr>
      <w:r w:rsidRPr="00E630E7">
        <w:rPr>
          <w:rFonts w:ascii="Tahoma" w:hAnsi="Tahoma" w:cs="Tahoma"/>
          <w:sz w:val="20"/>
          <w:szCs w:val="20"/>
        </w:rPr>
        <w:t>Куриери като DPD прекратиха доставки за и от ЕС.</w:t>
      </w:r>
    </w:p>
    <w:p w14:paraId="42B95E7F" w14:textId="77777777" w:rsidR="0012664F" w:rsidRPr="00E630E7" w:rsidRDefault="0012664F" w:rsidP="0012664F">
      <w:pPr>
        <w:pStyle w:val="ListParagraph"/>
        <w:numPr>
          <w:ilvl w:val="0"/>
          <w:numId w:val="21"/>
        </w:numPr>
        <w:spacing w:after="120" w:line="240" w:lineRule="auto"/>
        <w:jc w:val="both"/>
        <w:rPr>
          <w:rFonts w:ascii="Tahoma" w:hAnsi="Tahoma" w:cs="Tahoma"/>
          <w:sz w:val="20"/>
          <w:szCs w:val="20"/>
        </w:rPr>
      </w:pPr>
      <w:r w:rsidRPr="00E630E7">
        <w:rPr>
          <w:rFonts w:ascii="Tahoma" w:hAnsi="Tahoma" w:cs="Tahoma"/>
          <w:sz w:val="20"/>
          <w:szCs w:val="20"/>
        </w:rPr>
        <w:t>Спрени са почти всички превози на стоки, изискващи хладилни камиони.</w:t>
      </w:r>
    </w:p>
    <w:p w14:paraId="5C6B1037" w14:textId="77777777" w:rsidR="0012664F" w:rsidRPr="00E630E7" w:rsidRDefault="0012664F" w:rsidP="0012664F">
      <w:pPr>
        <w:pStyle w:val="ListParagraph"/>
        <w:numPr>
          <w:ilvl w:val="0"/>
          <w:numId w:val="21"/>
        </w:numPr>
        <w:spacing w:after="120" w:line="240" w:lineRule="auto"/>
        <w:jc w:val="both"/>
        <w:rPr>
          <w:rFonts w:ascii="Tahoma" w:hAnsi="Tahoma" w:cs="Tahoma"/>
          <w:sz w:val="20"/>
          <w:szCs w:val="20"/>
        </w:rPr>
      </w:pPr>
      <w:r w:rsidRPr="00E630E7">
        <w:rPr>
          <w:rFonts w:ascii="Tahoma" w:hAnsi="Tahoma" w:cs="Tahoma"/>
          <w:sz w:val="20"/>
          <w:szCs w:val="20"/>
        </w:rPr>
        <w:t>Прекратен е превозът на живи животни, основно прасета.</w:t>
      </w:r>
    </w:p>
    <w:p w14:paraId="125A0545" w14:textId="77777777" w:rsidR="0012664F" w:rsidRPr="00E630E7" w:rsidRDefault="0012664F" w:rsidP="0012664F">
      <w:pPr>
        <w:pStyle w:val="ListParagraph"/>
        <w:numPr>
          <w:ilvl w:val="0"/>
          <w:numId w:val="21"/>
        </w:numPr>
        <w:spacing w:after="120" w:line="240" w:lineRule="auto"/>
        <w:jc w:val="both"/>
        <w:rPr>
          <w:rFonts w:ascii="Tahoma" w:hAnsi="Tahoma" w:cs="Tahoma"/>
          <w:sz w:val="20"/>
          <w:szCs w:val="20"/>
        </w:rPr>
      </w:pPr>
      <w:r w:rsidRPr="00E630E7">
        <w:rPr>
          <w:rFonts w:ascii="Tahoma" w:hAnsi="Tahoma" w:cs="Tahoma"/>
          <w:sz w:val="20"/>
          <w:szCs w:val="20"/>
        </w:rPr>
        <w:t>Икономически оператори, чиято дейност е свързана с трансфер на чувствителни данни, се оплакват, че ред детайли не са изяснение и са принудени да прекратят операции, за да не попаднат в нарушение.</w:t>
      </w:r>
    </w:p>
    <w:p w14:paraId="2288E223" w14:textId="77777777" w:rsidR="0012664F" w:rsidRPr="00E630E7" w:rsidRDefault="0012664F" w:rsidP="0012664F">
      <w:pPr>
        <w:pStyle w:val="ListParagraph"/>
        <w:numPr>
          <w:ilvl w:val="0"/>
          <w:numId w:val="21"/>
        </w:numPr>
        <w:spacing w:after="120" w:line="240" w:lineRule="auto"/>
        <w:jc w:val="both"/>
        <w:rPr>
          <w:rFonts w:ascii="Tahoma" w:hAnsi="Tahoma" w:cs="Tahoma"/>
          <w:sz w:val="20"/>
          <w:szCs w:val="20"/>
        </w:rPr>
      </w:pPr>
      <w:r w:rsidRPr="00E630E7">
        <w:rPr>
          <w:rFonts w:ascii="Tahoma" w:hAnsi="Tahoma" w:cs="Tahoma"/>
          <w:sz w:val="20"/>
          <w:szCs w:val="20"/>
        </w:rPr>
        <w:t xml:space="preserve">Веригата Marks &amp; Spencer е прекратила доставките за магазините си в Северна Ирландия поради т.нар. </w:t>
      </w:r>
      <w:r w:rsidRPr="00E630E7">
        <w:rPr>
          <w:rFonts w:ascii="Tahoma" w:hAnsi="Tahoma" w:cs="Tahoma"/>
          <w:sz w:val="20"/>
          <w:szCs w:val="20"/>
          <w:lang w:val="en-US"/>
        </w:rPr>
        <w:t>red tape</w:t>
      </w:r>
      <w:r w:rsidRPr="00E630E7">
        <w:rPr>
          <w:rFonts w:ascii="Tahoma" w:hAnsi="Tahoma" w:cs="Tahoma"/>
          <w:sz w:val="20"/>
          <w:szCs w:val="20"/>
        </w:rPr>
        <w:t xml:space="preserve"> – нови правила за движение на стоките между Северна Ирландия и Великобритания. Веригата съобщава и за проблеми с нейни доставки за Чехия и Франция.</w:t>
      </w:r>
    </w:p>
    <w:p w14:paraId="785829C9" w14:textId="77777777" w:rsidR="0012664F" w:rsidRPr="00E630E7" w:rsidRDefault="0012664F" w:rsidP="0012664F">
      <w:pPr>
        <w:pStyle w:val="ListParagraph"/>
        <w:numPr>
          <w:ilvl w:val="0"/>
          <w:numId w:val="21"/>
        </w:numPr>
        <w:spacing w:after="120" w:line="240" w:lineRule="auto"/>
        <w:jc w:val="both"/>
        <w:rPr>
          <w:rFonts w:ascii="Tahoma" w:hAnsi="Tahoma" w:cs="Tahoma"/>
          <w:sz w:val="20"/>
          <w:szCs w:val="20"/>
        </w:rPr>
      </w:pPr>
      <w:r w:rsidRPr="00E630E7">
        <w:rPr>
          <w:rFonts w:ascii="Tahoma" w:hAnsi="Tahoma" w:cs="Tahoma"/>
          <w:sz w:val="20"/>
          <w:szCs w:val="20"/>
        </w:rPr>
        <w:t xml:space="preserve">В допълнение: от около 1500 камиона, които всеки ден опитват да излязат от ОК и влязат в ЕС, около 700 са върнати обратно, поради липса на </w:t>
      </w:r>
      <w:proofErr w:type="spellStart"/>
      <w:r w:rsidRPr="00E630E7">
        <w:rPr>
          <w:rFonts w:ascii="Tahoma" w:hAnsi="Tahoma" w:cs="Tahoma"/>
          <w:sz w:val="20"/>
          <w:szCs w:val="20"/>
          <w:lang w:val="en-US"/>
        </w:rPr>
        <w:t>Covid</w:t>
      </w:r>
      <w:proofErr w:type="spellEnd"/>
      <w:r w:rsidRPr="00E630E7">
        <w:rPr>
          <w:rFonts w:ascii="Tahoma" w:hAnsi="Tahoma" w:cs="Tahoma"/>
          <w:sz w:val="20"/>
          <w:szCs w:val="20"/>
          <w:lang w:val="en-US"/>
        </w:rPr>
        <w:t xml:space="preserve"> </w:t>
      </w:r>
      <w:r w:rsidRPr="00E630E7">
        <w:rPr>
          <w:rFonts w:ascii="Tahoma" w:hAnsi="Tahoma" w:cs="Tahoma"/>
          <w:sz w:val="20"/>
          <w:szCs w:val="20"/>
        </w:rPr>
        <w:t>тест на шофьорите.</w:t>
      </w:r>
    </w:p>
    <w:p w14:paraId="6947F263" w14:textId="77777777" w:rsidR="0012664F" w:rsidRPr="009A3EEE" w:rsidRDefault="0012664F" w:rsidP="0012664F">
      <w:pPr>
        <w:spacing w:line="240" w:lineRule="auto"/>
        <w:jc w:val="both"/>
        <w:rPr>
          <w:rFonts w:cs="Tahoma"/>
          <w:sz w:val="20"/>
          <w:szCs w:val="20"/>
        </w:rPr>
      </w:pPr>
    </w:p>
    <w:p w14:paraId="082AAF3D" w14:textId="77777777" w:rsidR="0012664F" w:rsidRPr="009A3EEE" w:rsidRDefault="0012664F" w:rsidP="0012664F">
      <w:pPr>
        <w:shd w:val="clear" w:color="auto" w:fill="002060"/>
        <w:spacing w:after="120" w:line="240" w:lineRule="auto"/>
        <w:jc w:val="both"/>
        <w:rPr>
          <w:rFonts w:ascii="Tahoma" w:hAnsi="Tahoma" w:cs="Tahoma"/>
          <w:b/>
          <w:sz w:val="20"/>
          <w:szCs w:val="20"/>
        </w:rPr>
      </w:pPr>
      <w:r w:rsidRPr="009A3EEE">
        <w:rPr>
          <w:rFonts w:cs="Tahoma"/>
          <w:b/>
          <w:sz w:val="20"/>
          <w:szCs w:val="20"/>
        </w:rPr>
        <w:t>За повече информация</w:t>
      </w:r>
    </w:p>
    <w:p w14:paraId="68916085" w14:textId="77777777" w:rsidR="0012664F" w:rsidRPr="00E630E7" w:rsidRDefault="0012664F" w:rsidP="0012664F">
      <w:pPr>
        <w:spacing w:line="240" w:lineRule="auto"/>
        <w:jc w:val="both"/>
        <w:rPr>
          <w:rFonts w:ascii="Tahoma" w:hAnsi="Tahoma" w:cs="Tahoma"/>
          <w:sz w:val="20"/>
          <w:szCs w:val="20"/>
        </w:rPr>
      </w:pPr>
      <w:r w:rsidRPr="00E630E7">
        <w:rPr>
          <w:rFonts w:ascii="Tahoma" w:hAnsi="Tahoma" w:cs="Tahoma"/>
          <w:sz w:val="20"/>
          <w:szCs w:val="20"/>
        </w:rPr>
        <w:t xml:space="preserve">Британското посолство в София положи усилия да информира обществеността за последиците от </w:t>
      </w:r>
      <w:r w:rsidRPr="00E630E7">
        <w:rPr>
          <w:rFonts w:ascii="Tahoma" w:hAnsi="Tahoma" w:cs="Tahoma"/>
          <w:sz w:val="20"/>
          <w:szCs w:val="20"/>
          <w:lang w:val="en-US"/>
        </w:rPr>
        <w:t>Brexit</w:t>
      </w:r>
      <w:r w:rsidRPr="00E630E7">
        <w:rPr>
          <w:rFonts w:ascii="Tahoma" w:hAnsi="Tahoma" w:cs="Tahoma"/>
          <w:sz w:val="20"/>
          <w:szCs w:val="20"/>
        </w:rPr>
        <w:t xml:space="preserve">. </w:t>
      </w:r>
    </w:p>
    <w:p w14:paraId="2C30B259" w14:textId="77777777" w:rsidR="0012664F" w:rsidRPr="00E630E7" w:rsidRDefault="0012664F" w:rsidP="0012664F">
      <w:pPr>
        <w:spacing w:line="240" w:lineRule="auto"/>
        <w:jc w:val="both"/>
        <w:rPr>
          <w:rFonts w:ascii="Tahoma" w:hAnsi="Tahoma" w:cs="Tahoma"/>
          <w:sz w:val="20"/>
          <w:szCs w:val="20"/>
        </w:rPr>
      </w:pPr>
      <w:r w:rsidRPr="00E630E7">
        <w:rPr>
          <w:rFonts w:ascii="Tahoma" w:hAnsi="Tahoma" w:cs="Tahoma"/>
          <w:sz w:val="20"/>
          <w:szCs w:val="20"/>
        </w:rPr>
        <w:t>Ако желаете индивидуална консултация по специфичен казус, можете да се обърнете към:</w:t>
      </w:r>
    </w:p>
    <w:p w14:paraId="6336C69D" w14:textId="77777777" w:rsidR="0012664F" w:rsidRPr="00E630E7" w:rsidRDefault="0012664F" w:rsidP="0012664F">
      <w:pPr>
        <w:pStyle w:val="ListParagraph"/>
        <w:numPr>
          <w:ilvl w:val="0"/>
          <w:numId w:val="22"/>
        </w:numPr>
        <w:spacing w:after="120" w:line="240" w:lineRule="auto"/>
        <w:rPr>
          <w:rFonts w:ascii="Tahoma" w:hAnsi="Tahoma" w:cs="Tahoma"/>
          <w:sz w:val="20"/>
          <w:szCs w:val="20"/>
        </w:rPr>
      </w:pPr>
      <w:r w:rsidRPr="00E630E7">
        <w:rPr>
          <w:rFonts w:ascii="Tahoma" w:hAnsi="Tahoma" w:cs="Tahoma"/>
          <w:b/>
          <w:sz w:val="20"/>
          <w:szCs w:val="20"/>
        </w:rPr>
        <w:t>Димитър Анев от търговската служба към Британското посолство в София</w:t>
      </w:r>
      <w:r w:rsidR="00E630E7">
        <w:rPr>
          <w:rFonts w:ascii="Tahoma" w:hAnsi="Tahoma" w:cs="Tahoma"/>
          <w:b/>
          <w:sz w:val="20"/>
          <w:szCs w:val="20"/>
        </w:rPr>
        <w:t>,</w:t>
      </w:r>
      <w:r w:rsidRPr="00E630E7">
        <w:rPr>
          <w:rFonts w:ascii="Tahoma" w:hAnsi="Tahoma" w:cs="Tahoma"/>
          <w:b/>
          <w:sz w:val="20"/>
          <w:szCs w:val="20"/>
        </w:rPr>
        <w:t xml:space="preserve"> </w:t>
      </w:r>
      <w:r w:rsidRPr="00E630E7">
        <w:rPr>
          <w:rFonts w:ascii="Tahoma" w:hAnsi="Tahoma" w:cs="Tahoma"/>
          <w:b/>
          <w:sz w:val="20"/>
          <w:szCs w:val="20"/>
        </w:rPr>
        <w:br/>
      </w:r>
      <w:r w:rsidRPr="00E630E7">
        <w:rPr>
          <w:rFonts w:ascii="Tahoma" w:hAnsi="Tahoma" w:cs="Tahoma"/>
          <w:sz w:val="20"/>
          <w:szCs w:val="20"/>
        </w:rPr>
        <w:t xml:space="preserve">тел. </w:t>
      </w:r>
      <w:r w:rsidRPr="00E630E7">
        <w:rPr>
          <w:rFonts w:ascii="Tahoma" w:hAnsi="Tahoma" w:cs="Tahoma"/>
          <w:sz w:val="20"/>
          <w:szCs w:val="20"/>
          <w:lang w:val="en-US"/>
        </w:rPr>
        <w:t>0</w:t>
      </w:r>
      <w:r w:rsidRPr="00E630E7">
        <w:rPr>
          <w:rFonts w:ascii="Tahoma" w:hAnsi="Tahoma" w:cs="Tahoma"/>
          <w:sz w:val="20"/>
          <w:szCs w:val="20"/>
        </w:rPr>
        <w:t>892 289 499</w:t>
      </w:r>
      <w:r w:rsidRPr="00E630E7">
        <w:rPr>
          <w:rFonts w:ascii="Tahoma" w:hAnsi="Tahoma" w:cs="Tahoma"/>
          <w:sz w:val="20"/>
          <w:szCs w:val="20"/>
          <w:lang w:val="en-US"/>
        </w:rPr>
        <w:t>,</w:t>
      </w:r>
      <w:r w:rsidRPr="00E630E7">
        <w:rPr>
          <w:rFonts w:ascii="Tahoma" w:hAnsi="Tahoma" w:cs="Tahoma"/>
          <w:sz w:val="20"/>
          <w:szCs w:val="20"/>
        </w:rPr>
        <w:t xml:space="preserve"> Email: </w:t>
      </w:r>
      <w:hyperlink r:id="rId8" w:history="1">
        <w:r w:rsidRPr="00E630E7">
          <w:rPr>
            <w:rStyle w:val="Hyperlink"/>
            <w:rFonts w:ascii="Tahoma" w:hAnsi="Tahoma" w:cs="Tahoma"/>
            <w:sz w:val="20"/>
            <w:szCs w:val="20"/>
          </w:rPr>
          <w:t>Dimitar.Anev@fcdo.gov.uk</w:t>
        </w:r>
      </w:hyperlink>
      <w:r w:rsidRPr="00E630E7">
        <w:rPr>
          <w:rFonts w:ascii="Tahoma" w:hAnsi="Tahoma" w:cs="Tahoma"/>
          <w:sz w:val="20"/>
          <w:szCs w:val="20"/>
        </w:rPr>
        <w:t xml:space="preserve"> </w:t>
      </w:r>
    </w:p>
    <w:p w14:paraId="476E5D69" w14:textId="77777777" w:rsidR="0012664F" w:rsidRPr="00E630E7" w:rsidRDefault="0012664F" w:rsidP="0012664F">
      <w:pPr>
        <w:pStyle w:val="ListParagraph"/>
        <w:numPr>
          <w:ilvl w:val="0"/>
          <w:numId w:val="22"/>
        </w:numPr>
        <w:spacing w:after="120" w:line="240" w:lineRule="auto"/>
        <w:rPr>
          <w:rFonts w:ascii="Tahoma" w:hAnsi="Tahoma" w:cs="Tahoma"/>
          <w:sz w:val="20"/>
          <w:szCs w:val="20"/>
        </w:rPr>
      </w:pPr>
      <w:r w:rsidRPr="00E630E7">
        <w:rPr>
          <w:rFonts w:ascii="Tahoma" w:hAnsi="Tahoma" w:cs="Tahoma"/>
          <w:b/>
          <w:sz w:val="20"/>
          <w:szCs w:val="20"/>
        </w:rPr>
        <w:t xml:space="preserve">БСК, Дирекция „Външноикономическо сътрудничество“, </w:t>
      </w:r>
      <w:r w:rsidRPr="00E630E7">
        <w:rPr>
          <w:rFonts w:ascii="Tahoma" w:hAnsi="Tahoma" w:cs="Tahoma"/>
          <w:b/>
          <w:sz w:val="20"/>
          <w:szCs w:val="20"/>
        </w:rPr>
        <w:br/>
      </w:r>
      <w:r w:rsidRPr="00E630E7">
        <w:rPr>
          <w:rFonts w:ascii="Tahoma" w:hAnsi="Tahoma" w:cs="Tahoma"/>
          <w:sz w:val="20"/>
          <w:szCs w:val="20"/>
        </w:rPr>
        <w:t xml:space="preserve">тел. </w:t>
      </w:r>
      <w:r w:rsidRPr="00E630E7">
        <w:rPr>
          <w:rFonts w:ascii="Tahoma" w:hAnsi="Tahoma" w:cs="Tahoma"/>
          <w:sz w:val="20"/>
          <w:szCs w:val="20"/>
          <w:lang w:val="en-US"/>
        </w:rPr>
        <w:t>0</w:t>
      </w:r>
      <w:r w:rsidRPr="00E630E7">
        <w:rPr>
          <w:rFonts w:ascii="Tahoma" w:hAnsi="Tahoma" w:cs="Tahoma"/>
          <w:sz w:val="20"/>
          <w:szCs w:val="20"/>
        </w:rPr>
        <w:t xml:space="preserve">2 932 09 54, </w:t>
      </w:r>
      <w:r w:rsidRPr="00E630E7">
        <w:rPr>
          <w:rFonts w:ascii="Tahoma" w:hAnsi="Tahoma" w:cs="Tahoma"/>
          <w:sz w:val="20"/>
          <w:szCs w:val="20"/>
          <w:lang w:val="en-US"/>
        </w:rPr>
        <w:t>0</w:t>
      </w:r>
      <w:r w:rsidRPr="00E630E7">
        <w:rPr>
          <w:rFonts w:ascii="Tahoma" w:hAnsi="Tahoma" w:cs="Tahoma"/>
          <w:sz w:val="20"/>
          <w:szCs w:val="20"/>
        </w:rPr>
        <w:t xml:space="preserve">2 932 09 </w:t>
      </w:r>
      <w:r w:rsidRPr="00E630E7">
        <w:rPr>
          <w:rFonts w:ascii="Tahoma" w:hAnsi="Tahoma" w:cs="Tahoma"/>
          <w:sz w:val="20"/>
          <w:szCs w:val="20"/>
          <w:lang w:val="en-US"/>
        </w:rPr>
        <w:t>3</w:t>
      </w:r>
      <w:r w:rsidRPr="00E630E7">
        <w:rPr>
          <w:rFonts w:ascii="Tahoma" w:hAnsi="Tahoma" w:cs="Tahoma"/>
          <w:sz w:val="20"/>
          <w:szCs w:val="20"/>
        </w:rPr>
        <w:t xml:space="preserve">4, </w:t>
      </w:r>
      <w:r w:rsidRPr="00E630E7">
        <w:rPr>
          <w:rFonts w:ascii="Tahoma" w:hAnsi="Tahoma" w:cs="Tahoma"/>
          <w:sz w:val="20"/>
          <w:szCs w:val="20"/>
          <w:lang w:val="en-US"/>
        </w:rPr>
        <w:t xml:space="preserve">Email: </w:t>
      </w:r>
      <w:hyperlink r:id="rId9" w:history="1">
        <w:r w:rsidRPr="00E630E7">
          <w:rPr>
            <w:rStyle w:val="Hyperlink"/>
            <w:rFonts w:ascii="Tahoma" w:hAnsi="Tahoma" w:cs="Tahoma"/>
            <w:sz w:val="20"/>
            <w:szCs w:val="20"/>
            <w:lang w:val="en-US"/>
          </w:rPr>
          <w:t>ierc@bia-bg.com</w:t>
        </w:r>
      </w:hyperlink>
      <w:r w:rsidRPr="00E630E7">
        <w:rPr>
          <w:rFonts w:ascii="Tahoma" w:hAnsi="Tahoma" w:cs="Tahoma"/>
          <w:sz w:val="20"/>
          <w:szCs w:val="20"/>
          <w:lang w:val="en-US"/>
        </w:rPr>
        <w:t xml:space="preserve"> </w:t>
      </w:r>
    </w:p>
    <w:p w14:paraId="70025FF4" w14:textId="77777777" w:rsidR="0012664F" w:rsidRPr="00E630E7" w:rsidRDefault="006D451E" w:rsidP="0012664F">
      <w:pPr>
        <w:spacing w:after="120" w:line="240" w:lineRule="auto"/>
        <w:jc w:val="both"/>
        <w:rPr>
          <w:rFonts w:ascii="Tahoma" w:hAnsi="Tahoma" w:cs="Tahoma"/>
          <w:sz w:val="20"/>
          <w:szCs w:val="20"/>
          <w:lang w:val="en-US"/>
        </w:rPr>
      </w:pPr>
      <w:hyperlink r:id="rId10" w:history="1">
        <w:r w:rsidR="0012664F" w:rsidRPr="00E630E7">
          <w:rPr>
            <w:rStyle w:val="Hyperlink"/>
            <w:rFonts w:ascii="Tahoma" w:hAnsi="Tahoma" w:cs="Tahoma"/>
            <w:sz w:val="20"/>
            <w:szCs w:val="20"/>
          </w:rPr>
          <w:t>Текстът на споразумението можете да намери тук</w:t>
        </w:r>
      </w:hyperlink>
      <w:r w:rsidR="0012664F" w:rsidRPr="00E630E7">
        <w:rPr>
          <w:rFonts w:ascii="Tahoma" w:hAnsi="Tahoma" w:cs="Tahoma"/>
          <w:sz w:val="20"/>
          <w:szCs w:val="20"/>
        </w:rPr>
        <w:t>.</w:t>
      </w:r>
    </w:p>
    <w:p w14:paraId="2628198A" w14:textId="77777777" w:rsidR="0012664F" w:rsidRPr="00E630E7" w:rsidRDefault="0012664F">
      <w:pPr>
        <w:spacing w:after="200" w:line="240" w:lineRule="auto"/>
        <w:rPr>
          <w:rFonts w:ascii="Tahoma" w:hAnsi="Tahoma" w:cs="Tahoma"/>
        </w:rPr>
      </w:pPr>
    </w:p>
    <w:sectPr w:rsidR="0012664F" w:rsidRPr="00E630E7">
      <w:footerReference w:type="default" r:id="rId11"/>
      <w:headerReference w:type="first" r:id="rId12"/>
      <w:footerReference w:type="first" r:id="rId13"/>
      <w:pgSz w:w="11906" w:h="16838"/>
      <w:pgMar w:top="993" w:right="1133" w:bottom="1135" w:left="1417"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7C03" w14:textId="77777777" w:rsidR="000F5E0D" w:rsidRDefault="000F5E0D">
      <w:pPr>
        <w:spacing w:after="0" w:line="240" w:lineRule="auto"/>
      </w:pPr>
      <w:r>
        <w:separator/>
      </w:r>
    </w:p>
  </w:endnote>
  <w:endnote w:type="continuationSeparator" w:id="0">
    <w:p w14:paraId="2E573B2D" w14:textId="77777777" w:rsidR="000F5E0D" w:rsidRDefault="000F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5F62" w14:textId="77777777" w:rsidR="005C4254" w:rsidRDefault="0012664F">
    <w:pPr>
      <w:pStyle w:val="Footer"/>
      <w:jc w:val="right"/>
      <w:rPr>
        <w:rFonts w:ascii="Tahoma" w:hAnsi="Tahoma" w:cs="Tahoma"/>
        <w:sz w:val="18"/>
        <w:szCs w:val="18"/>
      </w:rPr>
    </w:pPr>
    <w:r>
      <w:rPr>
        <w:noProof/>
        <w:lang w:eastAsia="bg-BG"/>
      </w:rPr>
      <w:drawing>
        <wp:anchor distT="0" distB="0" distL="114300" distR="114300" simplePos="0" relativeHeight="251657216" behindDoc="1" locked="0" layoutInCell="1" allowOverlap="1" wp14:anchorId="204DFC83" wp14:editId="6ADCEAF4">
          <wp:simplePos x="0" y="0"/>
          <wp:positionH relativeFrom="margin">
            <wp:posOffset>-48895</wp:posOffset>
          </wp:positionH>
          <wp:positionV relativeFrom="paragraph">
            <wp:posOffset>-48895</wp:posOffset>
          </wp:positionV>
          <wp:extent cx="5208905" cy="295275"/>
          <wp:effectExtent l="0" t="0" r="0" b="0"/>
          <wp:wrapNone/>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9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254">
      <w:rPr>
        <w:rFonts w:ascii="Tahoma" w:hAnsi="Tahoma" w:cs="Tahoma"/>
        <w:noProof/>
        <w:color w:val="004678"/>
        <w:sz w:val="18"/>
        <w:szCs w:val="18"/>
        <w:lang w:eastAsia="bg-BG"/>
      </w:rPr>
      <w:t>Стр.</w:t>
    </w:r>
    <w:r w:rsidR="005C4254">
      <w:rPr>
        <w:rFonts w:ascii="Tahoma" w:hAnsi="Tahoma" w:cs="Tahoma"/>
        <w:color w:val="004678"/>
        <w:sz w:val="18"/>
        <w:szCs w:val="18"/>
      </w:rPr>
      <w:t xml:space="preserve"> </w:t>
    </w:r>
    <w:r w:rsidR="005C4254">
      <w:rPr>
        <w:rFonts w:ascii="Tahoma" w:hAnsi="Tahoma" w:cs="Tahoma"/>
        <w:b/>
        <w:bCs/>
        <w:color w:val="004678"/>
        <w:sz w:val="18"/>
        <w:szCs w:val="18"/>
      </w:rPr>
      <w:fldChar w:fldCharType="begin"/>
    </w:r>
    <w:r w:rsidR="005C4254">
      <w:rPr>
        <w:rFonts w:ascii="Tahoma" w:hAnsi="Tahoma" w:cs="Tahoma"/>
        <w:b/>
        <w:bCs/>
        <w:color w:val="004678"/>
        <w:sz w:val="18"/>
        <w:szCs w:val="18"/>
      </w:rPr>
      <w:instrText xml:space="preserve"> PAGE </w:instrText>
    </w:r>
    <w:r w:rsidR="005C4254">
      <w:rPr>
        <w:rFonts w:ascii="Tahoma" w:hAnsi="Tahoma" w:cs="Tahoma"/>
        <w:b/>
        <w:bCs/>
        <w:color w:val="004678"/>
        <w:sz w:val="18"/>
        <w:szCs w:val="18"/>
      </w:rPr>
      <w:fldChar w:fldCharType="separate"/>
    </w:r>
    <w:r w:rsidR="00E630E7">
      <w:rPr>
        <w:rFonts w:ascii="Tahoma" w:hAnsi="Tahoma" w:cs="Tahoma"/>
        <w:b/>
        <w:bCs/>
        <w:noProof/>
        <w:color w:val="004678"/>
        <w:sz w:val="18"/>
        <w:szCs w:val="18"/>
      </w:rPr>
      <w:t>2</w:t>
    </w:r>
    <w:r w:rsidR="005C4254">
      <w:rPr>
        <w:rFonts w:ascii="Tahoma" w:hAnsi="Tahoma" w:cs="Tahoma"/>
        <w:b/>
        <w:bCs/>
        <w:color w:val="004678"/>
        <w:sz w:val="18"/>
        <w:szCs w:val="18"/>
      </w:rPr>
      <w:fldChar w:fldCharType="end"/>
    </w:r>
    <w:r w:rsidR="005C4254">
      <w:rPr>
        <w:rFonts w:ascii="Tahoma" w:hAnsi="Tahoma" w:cs="Tahoma"/>
        <w:color w:val="004678"/>
        <w:sz w:val="18"/>
        <w:szCs w:val="18"/>
      </w:rPr>
      <w:t xml:space="preserve"> от </w:t>
    </w:r>
    <w:r w:rsidR="005C4254">
      <w:rPr>
        <w:rFonts w:ascii="Tahoma" w:hAnsi="Tahoma" w:cs="Tahoma"/>
        <w:b/>
        <w:bCs/>
        <w:color w:val="004678"/>
        <w:sz w:val="18"/>
        <w:szCs w:val="18"/>
      </w:rPr>
      <w:fldChar w:fldCharType="begin"/>
    </w:r>
    <w:r w:rsidR="005C4254">
      <w:rPr>
        <w:rFonts w:ascii="Tahoma" w:hAnsi="Tahoma" w:cs="Tahoma"/>
        <w:b/>
        <w:bCs/>
        <w:color w:val="004678"/>
        <w:sz w:val="18"/>
        <w:szCs w:val="18"/>
      </w:rPr>
      <w:instrText xml:space="preserve"> NUMPAGES  </w:instrText>
    </w:r>
    <w:r w:rsidR="005C4254">
      <w:rPr>
        <w:rFonts w:ascii="Tahoma" w:hAnsi="Tahoma" w:cs="Tahoma"/>
        <w:b/>
        <w:bCs/>
        <w:color w:val="004678"/>
        <w:sz w:val="18"/>
        <w:szCs w:val="18"/>
      </w:rPr>
      <w:fldChar w:fldCharType="separate"/>
    </w:r>
    <w:r w:rsidR="00E630E7">
      <w:rPr>
        <w:rFonts w:ascii="Tahoma" w:hAnsi="Tahoma" w:cs="Tahoma"/>
        <w:b/>
        <w:bCs/>
        <w:noProof/>
        <w:color w:val="004678"/>
        <w:sz w:val="18"/>
        <w:szCs w:val="18"/>
      </w:rPr>
      <w:t>3</w:t>
    </w:r>
    <w:r w:rsidR="005C4254">
      <w:rPr>
        <w:rFonts w:ascii="Tahoma" w:hAnsi="Tahoma" w:cs="Tahoma"/>
        <w:b/>
        <w:bCs/>
        <w:color w:val="00467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C547" w14:textId="77777777" w:rsidR="005C4254" w:rsidRDefault="0012664F">
    <w:pPr>
      <w:pStyle w:val="Footer"/>
      <w:jc w:val="right"/>
      <w:rPr>
        <w:rFonts w:ascii="Tahoma" w:hAnsi="Tahoma" w:cs="Tahoma"/>
        <w:color w:val="004678"/>
        <w:sz w:val="18"/>
        <w:szCs w:val="18"/>
      </w:rPr>
    </w:pPr>
    <w:r>
      <w:rPr>
        <w:noProof/>
        <w:lang w:eastAsia="bg-BG"/>
      </w:rPr>
      <w:drawing>
        <wp:anchor distT="0" distB="0" distL="114300" distR="114300" simplePos="0" relativeHeight="251658240" behindDoc="1" locked="0" layoutInCell="1" allowOverlap="1" wp14:anchorId="7CB5036F" wp14:editId="4751C537">
          <wp:simplePos x="0" y="0"/>
          <wp:positionH relativeFrom="margin">
            <wp:posOffset>-33020</wp:posOffset>
          </wp:positionH>
          <wp:positionV relativeFrom="paragraph">
            <wp:posOffset>-8890</wp:posOffset>
          </wp:positionV>
          <wp:extent cx="5216525" cy="176530"/>
          <wp:effectExtent l="0" t="0" r="0" b="0"/>
          <wp:wrapNone/>
          <wp:docPr id="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6525"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254">
      <w:rPr>
        <w:rFonts w:ascii="Tahoma" w:hAnsi="Tahoma" w:cs="Tahoma"/>
        <w:noProof/>
        <w:color w:val="004678"/>
        <w:sz w:val="18"/>
        <w:szCs w:val="18"/>
        <w:lang w:eastAsia="bg-BG"/>
      </w:rPr>
      <w:t>Стр.</w:t>
    </w:r>
    <w:r w:rsidR="005C4254">
      <w:rPr>
        <w:rFonts w:ascii="Tahoma" w:hAnsi="Tahoma" w:cs="Tahoma"/>
        <w:color w:val="004678"/>
        <w:sz w:val="18"/>
        <w:szCs w:val="18"/>
      </w:rPr>
      <w:t xml:space="preserve"> </w:t>
    </w:r>
    <w:r w:rsidR="005C4254">
      <w:rPr>
        <w:rFonts w:ascii="Tahoma" w:hAnsi="Tahoma" w:cs="Tahoma"/>
        <w:b/>
        <w:bCs/>
        <w:color w:val="004678"/>
        <w:sz w:val="18"/>
        <w:szCs w:val="18"/>
      </w:rPr>
      <w:fldChar w:fldCharType="begin"/>
    </w:r>
    <w:r w:rsidR="005C4254">
      <w:rPr>
        <w:rFonts w:ascii="Tahoma" w:hAnsi="Tahoma" w:cs="Tahoma"/>
        <w:b/>
        <w:bCs/>
        <w:color w:val="004678"/>
        <w:sz w:val="18"/>
        <w:szCs w:val="18"/>
      </w:rPr>
      <w:instrText xml:space="preserve"> PAGE </w:instrText>
    </w:r>
    <w:r w:rsidR="005C4254">
      <w:rPr>
        <w:rFonts w:ascii="Tahoma" w:hAnsi="Tahoma" w:cs="Tahoma"/>
        <w:b/>
        <w:bCs/>
        <w:color w:val="004678"/>
        <w:sz w:val="18"/>
        <w:szCs w:val="18"/>
      </w:rPr>
      <w:fldChar w:fldCharType="separate"/>
    </w:r>
    <w:r w:rsidR="00E630E7">
      <w:rPr>
        <w:rFonts w:ascii="Tahoma" w:hAnsi="Tahoma" w:cs="Tahoma"/>
        <w:b/>
        <w:bCs/>
        <w:noProof/>
        <w:color w:val="004678"/>
        <w:sz w:val="18"/>
        <w:szCs w:val="18"/>
      </w:rPr>
      <w:t>1</w:t>
    </w:r>
    <w:r w:rsidR="005C4254">
      <w:rPr>
        <w:rFonts w:ascii="Tahoma" w:hAnsi="Tahoma" w:cs="Tahoma"/>
        <w:b/>
        <w:bCs/>
        <w:color w:val="004678"/>
        <w:sz w:val="18"/>
        <w:szCs w:val="18"/>
      </w:rPr>
      <w:fldChar w:fldCharType="end"/>
    </w:r>
    <w:r w:rsidR="005C4254">
      <w:rPr>
        <w:rFonts w:ascii="Tahoma" w:hAnsi="Tahoma" w:cs="Tahoma"/>
        <w:color w:val="004678"/>
        <w:sz w:val="18"/>
        <w:szCs w:val="18"/>
      </w:rPr>
      <w:t xml:space="preserve"> от </w:t>
    </w:r>
    <w:r w:rsidR="005C4254">
      <w:rPr>
        <w:rFonts w:ascii="Tahoma" w:hAnsi="Tahoma" w:cs="Tahoma"/>
        <w:b/>
        <w:bCs/>
        <w:color w:val="004678"/>
        <w:sz w:val="18"/>
        <w:szCs w:val="18"/>
      </w:rPr>
      <w:fldChar w:fldCharType="begin"/>
    </w:r>
    <w:r w:rsidR="005C4254">
      <w:rPr>
        <w:rFonts w:ascii="Tahoma" w:hAnsi="Tahoma" w:cs="Tahoma"/>
        <w:b/>
        <w:bCs/>
        <w:color w:val="004678"/>
        <w:sz w:val="18"/>
        <w:szCs w:val="18"/>
      </w:rPr>
      <w:instrText xml:space="preserve"> NUMPAGES  </w:instrText>
    </w:r>
    <w:r w:rsidR="005C4254">
      <w:rPr>
        <w:rFonts w:ascii="Tahoma" w:hAnsi="Tahoma" w:cs="Tahoma"/>
        <w:b/>
        <w:bCs/>
        <w:color w:val="004678"/>
        <w:sz w:val="18"/>
        <w:szCs w:val="18"/>
      </w:rPr>
      <w:fldChar w:fldCharType="separate"/>
    </w:r>
    <w:r w:rsidR="00E630E7">
      <w:rPr>
        <w:rFonts w:ascii="Tahoma" w:hAnsi="Tahoma" w:cs="Tahoma"/>
        <w:b/>
        <w:bCs/>
        <w:noProof/>
        <w:color w:val="004678"/>
        <w:sz w:val="18"/>
        <w:szCs w:val="18"/>
      </w:rPr>
      <w:t>3</w:t>
    </w:r>
    <w:r w:rsidR="005C4254">
      <w:rPr>
        <w:rFonts w:ascii="Tahoma" w:hAnsi="Tahoma" w:cs="Tahoma"/>
        <w:b/>
        <w:bCs/>
        <w:color w:val="00467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88D62" w14:textId="77777777" w:rsidR="000F5E0D" w:rsidRDefault="000F5E0D">
      <w:pPr>
        <w:spacing w:after="0" w:line="240" w:lineRule="auto"/>
      </w:pPr>
      <w:r>
        <w:separator/>
      </w:r>
    </w:p>
  </w:footnote>
  <w:footnote w:type="continuationSeparator" w:id="0">
    <w:p w14:paraId="486C9845" w14:textId="77777777" w:rsidR="000F5E0D" w:rsidRDefault="000F5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insideH w:val="single" w:sz="4" w:space="0" w:color="auto"/>
        <w:insideV w:val="single" w:sz="18" w:space="0" w:color="1F3864"/>
      </w:tblBorders>
      <w:tblLook w:val="04A0" w:firstRow="1" w:lastRow="0" w:firstColumn="1" w:lastColumn="0" w:noHBand="0" w:noVBand="1"/>
    </w:tblPr>
    <w:tblGrid>
      <w:gridCol w:w="4786"/>
      <w:gridCol w:w="4820"/>
    </w:tblGrid>
    <w:tr w:rsidR="00E41D0D" w14:paraId="63115642" w14:textId="77777777" w:rsidTr="00A35BD2">
      <w:tc>
        <w:tcPr>
          <w:tcW w:w="4786" w:type="dxa"/>
          <w:shd w:val="clear" w:color="auto" w:fill="auto"/>
        </w:tcPr>
        <w:p w14:paraId="41658249" w14:textId="77777777" w:rsidR="00E41D0D" w:rsidRDefault="0012664F" w:rsidP="00E41D0D">
          <w:pPr>
            <w:pStyle w:val="Header"/>
          </w:pPr>
          <w:r>
            <w:rPr>
              <w:noProof/>
              <w:lang w:eastAsia="bg-BG"/>
            </w:rPr>
            <w:drawing>
              <wp:inline distT="0" distB="0" distL="0" distR="0" wp14:anchorId="382E89C7" wp14:editId="6C6869F0">
                <wp:extent cx="1752600" cy="754380"/>
                <wp:effectExtent l="0" t="0" r="0" b="0"/>
                <wp:docPr id="1" name="Picture 1" descr="BIA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54380"/>
                        </a:xfrm>
                        <a:prstGeom prst="rect">
                          <a:avLst/>
                        </a:prstGeom>
                        <a:noFill/>
                        <a:ln>
                          <a:noFill/>
                        </a:ln>
                      </pic:spPr>
                    </pic:pic>
                  </a:graphicData>
                </a:graphic>
              </wp:inline>
            </w:drawing>
          </w:r>
        </w:p>
      </w:tc>
      <w:tc>
        <w:tcPr>
          <w:tcW w:w="4820" w:type="dxa"/>
          <w:shd w:val="clear" w:color="auto" w:fill="auto"/>
        </w:tcPr>
        <w:p w14:paraId="6E43F54C" w14:textId="77777777" w:rsidR="00E41D0D" w:rsidRPr="005C4254" w:rsidRDefault="00E41D0D" w:rsidP="005C4254">
          <w:pPr>
            <w:pStyle w:val="Header"/>
            <w:rPr>
              <w:rFonts w:ascii="Tahoma" w:hAnsi="Tahoma" w:cs="Tahoma"/>
              <w:sz w:val="20"/>
            </w:rPr>
          </w:pPr>
          <w:r w:rsidRPr="005C4254">
            <w:rPr>
              <w:rFonts w:ascii="Tahoma" w:hAnsi="Tahoma" w:cs="Tahoma"/>
              <w:sz w:val="20"/>
            </w:rPr>
            <w:t xml:space="preserve">Адрес: 1000 София, ул. Алабин 16-20 </w:t>
          </w:r>
        </w:p>
        <w:p w14:paraId="40264917" w14:textId="77777777" w:rsidR="00E41D0D" w:rsidRPr="005C4254" w:rsidRDefault="00E41D0D" w:rsidP="00E41D0D">
          <w:pPr>
            <w:pStyle w:val="Header"/>
            <w:rPr>
              <w:rFonts w:ascii="Tahoma" w:hAnsi="Tahoma" w:cs="Tahoma"/>
              <w:sz w:val="20"/>
            </w:rPr>
          </w:pPr>
          <w:r w:rsidRPr="005C4254">
            <w:rPr>
              <w:rFonts w:ascii="Tahoma" w:hAnsi="Tahoma" w:cs="Tahoma"/>
              <w:sz w:val="20"/>
            </w:rPr>
            <w:t xml:space="preserve">Тел.: +3592 932 09 </w:t>
          </w:r>
          <w:r w:rsidRPr="005C4254">
            <w:rPr>
              <w:rFonts w:ascii="Tahoma" w:hAnsi="Tahoma" w:cs="Tahoma"/>
              <w:sz w:val="20"/>
              <w:lang w:val="en-US"/>
            </w:rPr>
            <w:t>11</w:t>
          </w:r>
        </w:p>
        <w:p w14:paraId="17CEC12A" w14:textId="77777777" w:rsidR="00E41D0D" w:rsidRPr="005C4254" w:rsidRDefault="00E41D0D" w:rsidP="005C4254">
          <w:pPr>
            <w:pStyle w:val="Header"/>
            <w:rPr>
              <w:rFonts w:ascii="Tahoma" w:hAnsi="Tahoma" w:cs="Tahoma"/>
              <w:sz w:val="20"/>
            </w:rPr>
          </w:pPr>
          <w:r w:rsidRPr="005C4254">
            <w:rPr>
              <w:rFonts w:ascii="Tahoma" w:hAnsi="Tahoma" w:cs="Tahoma"/>
              <w:sz w:val="20"/>
            </w:rPr>
            <w:t>факс: +3592 987 26 04</w:t>
          </w:r>
        </w:p>
        <w:p w14:paraId="71D51882" w14:textId="77777777" w:rsidR="00E41D0D" w:rsidRDefault="00E41D0D" w:rsidP="00A35BD2">
          <w:pPr>
            <w:pStyle w:val="Header"/>
            <w:rPr>
              <w:rFonts w:ascii="Tahoma" w:hAnsi="Tahoma" w:cs="Tahoma"/>
              <w:sz w:val="20"/>
            </w:rPr>
          </w:pPr>
          <w:r w:rsidRPr="005C4254">
            <w:rPr>
              <w:rFonts w:ascii="Tahoma" w:hAnsi="Tahoma" w:cs="Tahoma"/>
              <w:sz w:val="20"/>
            </w:rPr>
            <w:t xml:space="preserve">Е-mail: </w:t>
          </w:r>
          <w:hyperlink r:id="rId2" w:history="1">
            <w:r w:rsidRPr="005C4254">
              <w:rPr>
                <w:rStyle w:val="Hyperlink"/>
                <w:rFonts w:ascii="Tahoma" w:hAnsi="Tahoma" w:cs="Tahoma"/>
                <w:sz w:val="20"/>
              </w:rPr>
              <w:t>office@bia-bg.com</w:t>
            </w:r>
          </w:hyperlink>
          <w:r w:rsidRPr="005C4254">
            <w:rPr>
              <w:rFonts w:ascii="Tahoma" w:hAnsi="Tahoma" w:cs="Tahoma"/>
              <w:sz w:val="20"/>
            </w:rPr>
            <w:t xml:space="preserve"> </w:t>
          </w:r>
          <w:r w:rsidR="00A35BD2">
            <w:rPr>
              <w:rFonts w:ascii="Tahoma" w:hAnsi="Tahoma" w:cs="Tahoma"/>
              <w:sz w:val="20"/>
            </w:rPr>
            <w:t xml:space="preserve"> </w:t>
          </w:r>
          <w:r w:rsidRPr="005C4254">
            <w:rPr>
              <w:rFonts w:ascii="Tahoma" w:hAnsi="Tahoma" w:cs="Tahoma"/>
              <w:sz w:val="20"/>
            </w:rPr>
            <w:t xml:space="preserve">Web: </w:t>
          </w:r>
          <w:hyperlink r:id="rId3" w:history="1">
            <w:r w:rsidRPr="005C4254">
              <w:rPr>
                <w:rStyle w:val="Hyperlink"/>
                <w:rFonts w:ascii="Tahoma" w:hAnsi="Tahoma" w:cs="Tahoma"/>
                <w:sz w:val="20"/>
              </w:rPr>
              <w:t>www.bia-bg.com</w:t>
            </w:r>
          </w:hyperlink>
        </w:p>
        <w:p w14:paraId="171A3288" w14:textId="77777777" w:rsidR="00A35BD2" w:rsidRPr="00A35BD2" w:rsidRDefault="00A35BD2" w:rsidP="00A35BD2">
          <w:pPr>
            <w:pStyle w:val="Header"/>
            <w:rPr>
              <w:rFonts w:ascii="Tahoma" w:hAnsi="Tahoma" w:cs="Tahoma"/>
              <w:sz w:val="20"/>
              <w:lang w:val="en-US"/>
            </w:rPr>
          </w:pPr>
          <w:r>
            <w:rPr>
              <w:rFonts w:ascii="Tahoma" w:hAnsi="Tahoma" w:cs="Tahoma"/>
              <w:sz w:val="20"/>
              <w:lang w:val="en-US"/>
            </w:rPr>
            <w:t xml:space="preserve">FB: </w:t>
          </w:r>
          <w:hyperlink r:id="rId4" w:history="1">
            <w:r w:rsidRPr="003F6396">
              <w:rPr>
                <w:rStyle w:val="Hyperlink"/>
                <w:rFonts w:ascii="Tahoma" w:hAnsi="Tahoma" w:cs="Tahoma"/>
                <w:sz w:val="20"/>
                <w:lang w:val="en-US"/>
              </w:rPr>
              <w:t>www.facebook.com/BusinessBulgaria</w:t>
            </w:r>
          </w:hyperlink>
          <w:r>
            <w:rPr>
              <w:rFonts w:ascii="Tahoma" w:hAnsi="Tahoma" w:cs="Tahoma"/>
              <w:sz w:val="20"/>
              <w:lang w:val="en-US"/>
            </w:rPr>
            <w:t xml:space="preserve"> </w:t>
          </w:r>
        </w:p>
      </w:tc>
    </w:tr>
  </w:tbl>
  <w:p w14:paraId="2B270D6D" w14:textId="77777777" w:rsidR="005C4254" w:rsidRDefault="005C4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062"/>
    <w:multiLevelType w:val="hybridMultilevel"/>
    <w:tmpl w:val="7E423F6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3B8632C"/>
    <w:multiLevelType w:val="hybridMultilevel"/>
    <w:tmpl w:val="B59479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3C662FB"/>
    <w:multiLevelType w:val="hybridMultilevel"/>
    <w:tmpl w:val="21FC02D6"/>
    <w:lvl w:ilvl="0" w:tplc="76F4EB78">
      <w:numFmt w:val="bullet"/>
      <w:lvlText w:val="-"/>
      <w:lvlJc w:val="left"/>
      <w:pPr>
        <w:ind w:left="360" w:hanging="360"/>
      </w:pPr>
      <w:rPr>
        <w:rFonts w:ascii="Tahoma" w:eastAsiaTheme="minorHAnsi" w:hAnsi="Tahoma" w:cs="Tahoma"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7590032"/>
    <w:multiLevelType w:val="hybridMultilevel"/>
    <w:tmpl w:val="8766B69A"/>
    <w:lvl w:ilvl="0" w:tplc="A2AC0DE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165978F7"/>
    <w:multiLevelType w:val="hybridMultilevel"/>
    <w:tmpl w:val="F376A7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F180A93"/>
    <w:multiLevelType w:val="hybridMultilevel"/>
    <w:tmpl w:val="1A56C7F2"/>
    <w:lvl w:ilvl="0" w:tplc="5AC0EBFE">
      <w:numFmt w:val="bullet"/>
      <w:lvlText w:val=""/>
      <w:lvlJc w:val="left"/>
      <w:pPr>
        <w:ind w:left="720" w:hanging="360"/>
      </w:pPr>
      <w:rPr>
        <w:rFonts w:ascii="Wingdings 3" w:eastAsia="Calibri" w:hAnsi="Wingdings 3"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7EB1A6A"/>
    <w:multiLevelType w:val="hybridMultilevel"/>
    <w:tmpl w:val="0F8812A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29487310"/>
    <w:multiLevelType w:val="hybridMultilevel"/>
    <w:tmpl w:val="0D5037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AA37C80"/>
    <w:multiLevelType w:val="hybridMultilevel"/>
    <w:tmpl w:val="D0443B7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359563BF"/>
    <w:multiLevelType w:val="hybridMultilevel"/>
    <w:tmpl w:val="C19AB3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E7670D9"/>
    <w:multiLevelType w:val="hybridMultilevel"/>
    <w:tmpl w:val="2A30DA78"/>
    <w:lvl w:ilvl="0" w:tplc="04020001">
      <w:start w:val="1"/>
      <w:numFmt w:val="bullet"/>
      <w:lvlText w:val=""/>
      <w:lvlJc w:val="left"/>
      <w:pPr>
        <w:ind w:left="360" w:hanging="360"/>
      </w:pPr>
      <w:rPr>
        <w:rFonts w:ascii="Symbol" w:hAnsi="Symbol" w:hint="default"/>
      </w:rPr>
    </w:lvl>
    <w:lvl w:ilvl="1" w:tplc="0402000D">
      <w:start w:val="1"/>
      <w:numFmt w:val="bullet"/>
      <w:lvlText w:val=""/>
      <w:lvlJc w:val="left"/>
      <w:pPr>
        <w:ind w:left="1080" w:hanging="360"/>
      </w:pPr>
      <w:rPr>
        <w:rFonts w:ascii="Wingdings" w:hAnsi="Wingding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666B7492"/>
    <w:multiLevelType w:val="hybridMultilevel"/>
    <w:tmpl w:val="A782B132"/>
    <w:lvl w:ilvl="0" w:tplc="04020001">
      <w:start w:val="1"/>
      <w:numFmt w:val="bullet"/>
      <w:lvlText w:val=""/>
      <w:lvlJc w:val="left"/>
      <w:pPr>
        <w:ind w:left="360" w:hanging="360"/>
      </w:pPr>
      <w:rPr>
        <w:rFonts w:ascii="Symbol" w:hAnsi="Symbol" w:hint="default"/>
      </w:rPr>
    </w:lvl>
    <w:lvl w:ilvl="1" w:tplc="0402000D">
      <w:start w:val="1"/>
      <w:numFmt w:val="bullet"/>
      <w:lvlText w:val=""/>
      <w:lvlJc w:val="left"/>
      <w:pPr>
        <w:ind w:left="1080" w:hanging="360"/>
      </w:pPr>
      <w:rPr>
        <w:rFonts w:ascii="Wingdings" w:hAnsi="Wingding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677B3281"/>
    <w:multiLevelType w:val="hybridMultilevel"/>
    <w:tmpl w:val="E552352A"/>
    <w:lvl w:ilvl="0" w:tplc="BE00B4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67E32E83"/>
    <w:multiLevelType w:val="hybridMultilevel"/>
    <w:tmpl w:val="5F4083C8"/>
    <w:lvl w:ilvl="0" w:tplc="28D6144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68387B74"/>
    <w:multiLevelType w:val="hybridMultilevel"/>
    <w:tmpl w:val="89029ED2"/>
    <w:lvl w:ilvl="0" w:tplc="0CCAE674">
      <w:start w:val="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93E45FC"/>
    <w:multiLevelType w:val="hybridMultilevel"/>
    <w:tmpl w:val="155E1FE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6CB949E9"/>
    <w:multiLevelType w:val="hybridMultilevel"/>
    <w:tmpl w:val="8BFCAB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F7350EB"/>
    <w:multiLevelType w:val="hybridMultilevel"/>
    <w:tmpl w:val="53184FBE"/>
    <w:lvl w:ilvl="0" w:tplc="49B8A3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6FBE2CE0"/>
    <w:multiLevelType w:val="hybridMultilevel"/>
    <w:tmpl w:val="9C1ED2D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15:restartNumberingAfterBreak="0">
    <w:nsid w:val="731B2E36"/>
    <w:multiLevelType w:val="hybridMultilevel"/>
    <w:tmpl w:val="F63041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51F0320"/>
    <w:multiLevelType w:val="hybridMultilevel"/>
    <w:tmpl w:val="C276A7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64057B0"/>
    <w:multiLevelType w:val="hybridMultilevel"/>
    <w:tmpl w:val="3C2A8E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
  </w:num>
  <w:num w:numId="4">
    <w:abstractNumId w:val="9"/>
  </w:num>
  <w:num w:numId="5">
    <w:abstractNumId w:val="5"/>
  </w:num>
  <w:num w:numId="6">
    <w:abstractNumId w:val="18"/>
  </w:num>
  <w:num w:numId="7">
    <w:abstractNumId w:val="13"/>
  </w:num>
  <w:num w:numId="8">
    <w:abstractNumId w:val="15"/>
  </w:num>
  <w:num w:numId="9">
    <w:abstractNumId w:val="6"/>
  </w:num>
  <w:num w:numId="10">
    <w:abstractNumId w:val="8"/>
  </w:num>
  <w:num w:numId="11">
    <w:abstractNumId w:val="0"/>
  </w:num>
  <w:num w:numId="12">
    <w:abstractNumId w:val="21"/>
  </w:num>
  <w:num w:numId="13">
    <w:abstractNumId w:val="10"/>
  </w:num>
  <w:num w:numId="14">
    <w:abstractNumId w:val="11"/>
  </w:num>
  <w:num w:numId="15">
    <w:abstractNumId w:val="3"/>
  </w:num>
  <w:num w:numId="16">
    <w:abstractNumId w:val="12"/>
  </w:num>
  <w:num w:numId="17">
    <w:abstractNumId w:val="17"/>
  </w:num>
  <w:num w:numId="18">
    <w:abstractNumId w:val="14"/>
  </w:num>
  <w:num w:numId="19">
    <w:abstractNumId w:val="20"/>
  </w:num>
  <w:num w:numId="20">
    <w:abstractNumId w:val="1"/>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4F"/>
    <w:rsid w:val="0005506D"/>
    <w:rsid w:val="000F5E0D"/>
    <w:rsid w:val="0012664F"/>
    <w:rsid w:val="00513FBD"/>
    <w:rsid w:val="00570914"/>
    <w:rsid w:val="005C4254"/>
    <w:rsid w:val="00616AB0"/>
    <w:rsid w:val="006D451E"/>
    <w:rsid w:val="00891A70"/>
    <w:rsid w:val="00A35BD2"/>
    <w:rsid w:val="00B66419"/>
    <w:rsid w:val="00E41D0D"/>
    <w:rsid w:val="00E630E7"/>
    <w:rsid w:val="00EB04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C49AF"/>
  <w15:chartTrackingRefBased/>
  <w15:docId w15:val="{C383D61E-CF73-4E89-9350-8ABAA1D2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
    <w:qFormat/>
    <w:pPr>
      <w:keepNext/>
      <w:pBdr>
        <w:top w:val="single" w:sz="12" w:space="1" w:color="1F3864"/>
        <w:bottom w:val="single" w:sz="12" w:space="1" w:color="1F3864"/>
      </w:pBdr>
      <w:spacing w:before="240" w:after="120" w:line="240" w:lineRule="auto"/>
      <w:jc w:val="center"/>
      <w:outlineLvl w:val="0"/>
    </w:pPr>
    <w:rPr>
      <w:rFonts w:ascii="Tahoma" w:eastAsia="Times New Roman" w:hAnsi="Tahoma" w:cs="Tahoma"/>
      <w:b/>
      <w:bCs/>
      <w:kern w:val="32"/>
      <w:sz w:val="28"/>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link w:val="Heading1"/>
    <w:uiPriority w:val="9"/>
    <w:rPr>
      <w:rFonts w:ascii="Tahoma" w:eastAsia="Times New Roman" w:hAnsi="Tahoma" w:cs="Tahoma"/>
      <w:b/>
      <w:bCs/>
      <w:kern w:val="32"/>
      <w:sz w:val="28"/>
      <w:szCs w:val="3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bg-BG"/>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lang w:eastAsia="bg-BG"/>
    </w:rPr>
  </w:style>
  <w:style w:type="character" w:customStyle="1" w:styleId="BalloonTextChar">
    <w:name w:val="Balloon Text Char"/>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rPr>
      <w:sz w:val="20"/>
      <w:szCs w:val="20"/>
      <w:lang w:eastAsia="bg-BG"/>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table" w:styleId="GridTable1Light-Accent5">
    <w:name w:val="Grid Table 1 Light Accent 5"/>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664F"/>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ar.Anev@fcdo.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BG/TXT/PDF/?uri=CELEX:22020A1231(01)&amp;from=EN" TargetMode="External"/><Relationship Id="rId4" Type="http://schemas.openxmlformats.org/officeDocument/2006/relationships/settings" Target="settings.xml"/><Relationship Id="rId9" Type="http://schemas.openxmlformats.org/officeDocument/2006/relationships/hyperlink" Target="mailto:ierc@bia-b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bia-bg.com" TargetMode="External"/><Relationship Id="rId2" Type="http://schemas.openxmlformats.org/officeDocument/2006/relationships/hyperlink" Target="mailto:office@bia-bg.com" TargetMode="External"/><Relationship Id="rId1" Type="http://schemas.openxmlformats.org/officeDocument/2006/relationships/image" Target="media/image2.png"/><Relationship Id="rId4" Type="http://schemas.openxmlformats.org/officeDocument/2006/relationships/hyperlink" Target="http://www.facebook.com/BusinessBulga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IA%20Cloud\BLANKI%20&amp;%20ZAYAVKI\-%20BIA_blanka-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41E0-47EE-4447-A083-B4B88244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BIA_blanka-BG.dot</Template>
  <TotalTime>3</TotalTime>
  <Pages>3</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Links>
    <vt:vector size="18" baseType="variant">
      <vt:variant>
        <vt:i4>4587604</vt:i4>
      </vt:variant>
      <vt:variant>
        <vt:i4>12</vt:i4>
      </vt:variant>
      <vt:variant>
        <vt:i4>0</vt:i4>
      </vt:variant>
      <vt:variant>
        <vt:i4>5</vt:i4>
      </vt:variant>
      <vt:variant>
        <vt:lpwstr>http://www.facebook.com/BusinessBulgaria</vt:lpwstr>
      </vt:variant>
      <vt:variant>
        <vt:lpwstr/>
      </vt:variant>
      <vt:variant>
        <vt:i4>2359421</vt:i4>
      </vt:variant>
      <vt:variant>
        <vt:i4>9</vt:i4>
      </vt:variant>
      <vt:variant>
        <vt:i4>0</vt:i4>
      </vt:variant>
      <vt:variant>
        <vt:i4>5</vt:i4>
      </vt:variant>
      <vt:variant>
        <vt:lpwstr>http://www.bia-bg.com/</vt:lpwstr>
      </vt:variant>
      <vt:variant>
        <vt:lpwstr/>
      </vt:variant>
      <vt:variant>
        <vt:i4>6619136</vt:i4>
      </vt:variant>
      <vt:variant>
        <vt:i4>6</vt:i4>
      </vt:variant>
      <vt:variant>
        <vt:i4>0</vt:i4>
      </vt:variant>
      <vt:variant>
        <vt:i4>5</vt:i4>
      </vt:variant>
      <vt:variant>
        <vt:lpwstr>mailto:office@bia-bg.com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Веселин Илиев</cp:lastModifiedBy>
  <cp:revision>3</cp:revision>
  <cp:lastPrinted>2017-02-15T16:59:00Z</cp:lastPrinted>
  <dcterms:created xsi:type="dcterms:W3CDTF">2021-01-12T07:42:00Z</dcterms:created>
  <dcterms:modified xsi:type="dcterms:W3CDTF">2021-01-12T07:45:00Z</dcterms:modified>
</cp:coreProperties>
</file>